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15A5" w14:textId="4B7E2F32" w:rsidR="008D6AB0" w:rsidRPr="00AC2D33" w:rsidRDefault="00E666AE">
      <w:pPr>
        <w:rPr>
          <w:rFonts w:asciiTheme="minorHAnsi" w:hAnsiTheme="minorHAnsi"/>
        </w:rPr>
      </w:pPr>
      <w:r w:rsidRPr="00AC2D33">
        <w:rPr>
          <w:rFonts w:asciiTheme="minorHAnsi" w:hAnsiTheme="minorHAnsi"/>
        </w:rPr>
        <w:t xml:space="preserve">Primary </w:t>
      </w:r>
      <w:r w:rsidR="008D6AB0" w:rsidRPr="00AC2D33">
        <w:rPr>
          <w:rFonts w:asciiTheme="minorHAnsi" w:hAnsiTheme="minorHAnsi"/>
        </w:rPr>
        <w:t>AI Model: ChatGPT5.</w:t>
      </w:r>
      <w:r w:rsidR="0045186B" w:rsidRPr="00AC2D33">
        <w:rPr>
          <w:rFonts w:asciiTheme="minorHAnsi" w:hAnsiTheme="minorHAnsi"/>
        </w:rPr>
        <w:t>2</w:t>
      </w:r>
    </w:p>
    <w:p w14:paraId="66CF5BE9" w14:textId="210BD84B" w:rsidR="00295297" w:rsidRPr="00AC2D33" w:rsidRDefault="00295297">
      <w:pPr>
        <w:pBdr>
          <w:bottom w:val="single" w:sz="6" w:space="1" w:color="auto"/>
        </w:pBdr>
        <w:rPr>
          <w:rFonts w:asciiTheme="minorHAnsi" w:hAnsiTheme="minorHAnsi"/>
        </w:rPr>
      </w:pPr>
      <w:r w:rsidRPr="00AC2D33">
        <w:rPr>
          <w:rFonts w:asciiTheme="minorHAnsi" w:hAnsiTheme="minorHAnsi"/>
        </w:rPr>
        <w:t xml:space="preserve">Supporting Models: Perplexity (free); Claude (Sonnet 4.5); Google Gemini 3; </w:t>
      </w:r>
      <w:r w:rsidR="00EF3B08" w:rsidRPr="00AC2D33">
        <w:rPr>
          <w:rFonts w:asciiTheme="minorHAnsi" w:hAnsiTheme="minorHAnsi"/>
        </w:rPr>
        <w:t>Grok (free)</w:t>
      </w:r>
    </w:p>
    <w:p w14:paraId="2BEF8FC4" w14:textId="77777777" w:rsidR="00EF3B08" w:rsidRDefault="00EF3B08"/>
    <w:p w14:paraId="7C3DE621" w14:textId="0308971F" w:rsidR="008D6AB0" w:rsidRPr="008D6AB0" w:rsidRDefault="008D6AB0" w:rsidP="00AC2D33">
      <w:pPr>
        <w:pStyle w:val="Heading3"/>
      </w:pPr>
      <w:r w:rsidRPr="008D6AB0">
        <w:t>2026</w:t>
      </w:r>
      <w:r w:rsidR="00AC2D33">
        <w:t xml:space="preserve"> Thesis Summary</w:t>
      </w:r>
    </w:p>
    <w:p w14:paraId="395BD348" w14:textId="77777777" w:rsidR="00EC20D1" w:rsidRDefault="00EC20D1" w:rsidP="00AC2D33">
      <w:bookmarkStart w:id="0" w:name="OLE_LINK4"/>
      <w:bookmarkStart w:id="1" w:name="OLE_LINK1"/>
      <w:bookmarkStart w:id="2" w:name="OLE_LINK5"/>
      <w:r>
        <w:t>By the end of 2026, the United States is most likely to be in a moderately stronger—but structurally more constrained—position than at the start of the year. This represents the highest-probability outcome (approximately 55–60%), driven by macro stabilization and the deployment of multiple enabling technologies beyond AI alone. The improvement is real but uneven, contingent on execution, and vulnerable to non-linear disruptions rather than cyclical demand weakness.</w:t>
      </w:r>
    </w:p>
    <w:p w14:paraId="313FE067" w14:textId="77777777" w:rsidR="00EC20D1" w:rsidRDefault="00EC20D1" w:rsidP="00AC2D33">
      <w:r>
        <w:t>Disinflation continues, but progress is uneven. Persistent services inflation—particularly housing-related costs driven by insurance premiums, property taxes, and climate adaptation expenses—remains a headwind. Wage pressures persist as labor markets remain tighter than expected, while goods inflation is pressured upward by supply-chain diversification and geopolitical fragmentation. The Federal Reserve navigates a cautious, stop-start rate-cut cycle that modestly eases financing conditions, yet real rates remain somewhat restrictive. Policy risk is elevated: cutting too early risks re-accelerating inflation, while holding too long risks destabilizing credit markets. Inflation is more likely to settle in the 2.5–3.0% range rather than returning cleanly to the 2% target, constraining monetary policy more than markets currently assume.</w:t>
      </w:r>
    </w:p>
    <w:p w14:paraId="5F844BDA" w14:textId="77777777" w:rsidR="00EC20D1" w:rsidRDefault="00EC20D1" w:rsidP="00AC2D33">
      <w:r>
        <w:t>Corporate investment expands across AI infrastructure, advanced semiconductors, grid modernization, autonomous systems, and defense-adjacent technologies. However, this expansion is not linear. An “AI mini-cycle”—characterized by overbuild followed by partial correction—introduces two-sided risk to capital expenditures and valuations. Earnings resilience remains uneven across sectors, reinforcing dispersion rather than broad-based multiple expansion.</w:t>
      </w:r>
    </w:p>
    <w:p w14:paraId="3C97AB83" w14:textId="77777777" w:rsidR="00EC20D1" w:rsidRDefault="00EC20D1" w:rsidP="00AC2D33">
      <w:r>
        <w:t>Productivity gains become incrementally more visible in healthcare, logistics, finance, manufacturing, and energy. These gains are driven less by outright labor displacement and more by efficiency improvements, decision support, and process redesign. Historical precedent suggests that general-purpose technologies require long adoption arcs—often 15–25 years from invention to broad productivity impact—implying that the most significant gains may not fully materialize until 2027–2028. Measurement lags further obscure progress; official statistics are likely to understate realized productivity through 2026, with gains remaining concentrated in narrow use cases while investment proceeds on expectation. This uneven adoption creates labor-market tension: mid-skill white-collar roles face greater pressure than skilled trades, raising the risk of consumption softness if displacement outpaces augmentation. Political backlash becomes a non-trivial risk vector, with potential mid-stream policy responses including new liability regimes, licensing requirements, or compute restrictions.</w:t>
      </w:r>
    </w:p>
    <w:p w14:paraId="29435768" w14:textId="6245589C" w:rsidR="00EC20D1" w:rsidRDefault="00EC20D1" w:rsidP="00AC2D33">
      <w:r>
        <w:t xml:space="preserve">Physical and operational constraints increasingly define the growth envelope. Electricity availability, interconnection queues (often 2–5 years in many regions), skilled-trades capacity, permitting timelines, and regional infrastructure readiness become binding constraints that concentrate growth and widen dispersion across regions, firms, and workers. Data center power demand grows faster </w:t>
      </w:r>
      <w:r>
        <w:lastRenderedPageBreak/>
        <w:t>than grid expansion, while nuclear and gas capacity additions face delays. As a result, visible economic tradeoffs emerge in 2026, including regional brownouts, industrial users priced out of power markets, and delayed data-center projects. Natural gas prices spike as data-center demand and LNG exports compete for supply, creating a feedback loop back into inflation.</w:t>
      </w:r>
    </w:p>
    <w:p w14:paraId="6309487D" w14:textId="77777777" w:rsidR="00EC20D1" w:rsidRDefault="00EC20D1" w:rsidP="00AC2D33">
      <w:r>
        <w:t>At the same time, federal debt dynamics increasingly shape the macro backdrop and market psychology. By the end of 2026, total U.S. federal debt is plausibly in the $39–40 trillion range, with nominal GDP around $30–31 trillion—placing debt at roughly 125–130% of GDP. Net interest becomes a top-tier federal outlay, leaving markets acutely sensitive to auction dynamics, foreign demand, fiscal brinkmanship, and shifts in term premia. Policy flexibility narrows as debt levels rise, increasing the probability of fiscal dominance scenarios in which debt dynamics constrain central-bank independence and elevate the risk of non-linear market responses.</w:t>
      </w:r>
    </w:p>
    <w:p w14:paraId="788AEB99" w14:textId="77777777" w:rsidR="00EC20D1" w:rsidRDefault="00EC20D1" w:rsidP="00AC2D33">
      <w:r>
        <w:t>Systemic risks continue to migrate away from classic cyclical downturns toward operational, physical, and political domains. Climate volatility further stresses power grids, insurance markets, and municipal finances. While this accelerates adaptation investment, it also creates localized negative feedback loops: rising insurance costs and carrier withdrawals reduce property values and tax bases, degrading local infrastructure and widening regional divergence. Some areas experience abrupt repricing rather than gradual adjustment. Water scarcity in the Southwest and agricultural regions emerges as an additional binding constraint, affecting data centers, agriculture, and population distribution.</w:t>
      </w:r>
    </w:p>
    <w:p w14:paraId="6B52F8E8" w14:textId="573FAB92" w:rsidR="00EC20D1" w:rsidRDefault="00EC20D1" w:rsidP="00AC2D33">
      <w:r>
        <w:t>Cybersecurity risk intensifies as AI-enabled attacks grow more sophisticated. The primary economic threat shifts from data theft toward operational disruption and downtime in critical infrastructure, cloud platforms, and payment systems. While most incidents remain contained, the probability of a Tier-1 cyber event in 2026—defined as a multi-day disruption to critical infrastructure or financial systems such as grid SCADA systems, payment rails, or major cloud providers—is non-negligible. Such an event would likely trigger emergency protocols, temporary market closures, or manual operational fallbacks.</w:t>
      </w:r>
    </w:p>
    <w:p w14:paraId="59E28E4B" w14:textId="77777777" w:rsidR="00EC20D1" w:rsidRDefault="00EC20D1" w:rsidP="00AC2D33">
      <w:r>
        <w:t>Financial-system plumbing upgrades—faster settlement, automation, and tokenization—improve efficiency and transparency but also transmit stress more rapidly across both regulated and shadow credit channels. Algorithmic trading, ETF redemption mechanics, and stablecoin interconnections increase the speed at which liquidity shocks can cascade. Commercial real estate remains a key fragility point: roughly $1.5 trillion in CRE loans mature between 2024 and 2026, and refinancing at higher rates amid structurally lower office utilization (likely stabilizing around 50–60%) creates pockets of credit stress. While this stress is likely manageable in aggregate and far from 2008-scale, it becomes semi-systemic. Regional bank exposure—characterized by limited transparency, mark-to-model valuations, and covenant-lite structures—introduces opacity that could complicate containment and spill over into other credit markets.</w:t>
      </w:r>
    </w:p>
    <w:p w14:paraId="1A8264A2" w14:textId="77777777" w:rsidR="00EC20D1" w:rsidRDefault="00EC20D1" w:rsidP="00AC2D33">
      <w:bookmarkStart w:id="3" w:name="OLE_LINK2"/>
      <w:r>
        <w:t xml:space="preserve">Housing activity thaws modestly as borrowing costs ease at the margin, but repricing accelerates along new fault lines. Climate exposure, insurance availability, infrastructure quality, and local fiscal capacity increasingly drive divergence. Some communities face rapid adjustments in prices and tax bases rather than slow drift. Climate-related migration from vulnerable regions—such as coastal </w:t>
      </w:r>
      <w:r>
        <w:lastRenderedPageBreak/>
        <w:t>Florida and parts of the Southwest—reshapes labor markets and housing dynamics in receiving areas.</w:t>
      </w:r>
    </w:p>
    <w:p w14:paraId="0CCB9F5B" w14:textId="77777777" w:rsidR="00EC20D1" w:rsidRDefault="00EC20D1" w:rsidP="00AC2D33">
      <w:r>
        <w:t>Geopolitical tensions remain elevated but contained in the baseline. Russia–Ukraine, Middle East instability, and U.S.–China technology and supply-chain competition persist without escalating into large-scale kinetic or financial conflict. These dynamics reinforce industrial policy, defense-adjacent investment, and supply-chain diversification. Semiconductor supply-chain vulnerability remains acute, particularly given Taiwan’s concentration of 60–70% of advanced chip production. CHIPS Act implementation encounters delays, cost overruns, and talent shortages, pushing meaningful domestic capacity expansion into the 2028–2030 window. Export controls and the risk of Chinese retaliation—through rare earths, gallium, or graphite—add further friction.</w:t>
      </w:r>
    </w:p>
    <w:p w14:paraId="62BFE3BB" w14:textId="77777777" w:rsidR="00EC20D1" w:rsidRDefault="00EC20D1" w:rsidP="00AC2D33">
      <w:r>
        <w:t>Domestic policy uncertainty remains a first-order variable rather than a secondary volatility amplifier. Midterm elections, budget negotiations, debt-ceiling or shutdown brinkmanship, regulatory swings, and election-cycle incentives raise the likelihood of short-lived confidence shocks and market-mechanics disruptions even if underlying fundamentals remain intact. Policy whiplash across executive orders, agency rulemaking, antitrust enforcement, and potential AI regulation complicates business planning and capital allocation. A lame-duck dynamic, should congressional control shift, would further reduce crisis-response capacity. Significant AI regulatory tightening—particularly following bias, safety, or misinformation incidents—could slow deployment more than currently expected and undermine the productivity thesis.</w:t>
      </w:r>
    </w:p>
    <w:bookmarkEnd w:id="0"/>
    <w:p w14:paraId="04F8E870" w14:textId="77777777" w:rsidR="00EC20D1" w:rsidRDefault="00EC20D1" w:rsidP="00AC2D33">
      <w:r>
        <w:t>Overall, by the end of 2026 the U.S. economy is likely to be modestly stronger than at its beginning, but the improvement is structural, uneven, and contingent rather than smooth or guaranteed. Growth is supported by technology deployment across energy, infrastructure, autonomy, defense, and biology. At the same time, vulnerabilities shift away from demand weakness toward physical limits (energy, water, skilled labor, permitting), cyber risk, climate and insurance stress, debt-constrained policy flexibility, political backlash, regulatory tightening, and widening regional and economic inequality. Aggregate strength masks severe dispersion, with some regions experiencing acute stress. Success increasingly depends on effective risk management, coordination across complex systems, and—critically—the avoidance of large tail events rather than on benign averages alone. The path forward is bumpier, gains are more concentrated, and risks are more salient than smooth extrapolation would suggest.</w:t>
      </w:r>
    </w:p>
    <w:p w14:paraId="082B5DAA" w14:textId="21E503E5" w:rsidR="00EC20D1" w:rsidRPr="0057067D" w:rsidRDefault="00364227" w:rsidP="00AC2D33">
      <w:pPr>
        <w:rPr>
          <w:sz w:val="28"/>
          <w:szCs w:val="28"/>
        </w:rPr>
      </w:pPr>
      <w:r w:rsidRPr="008E71B9">
        <w:rPr>
          <w:b/>
          <w:bCs/>
          <w:sz w:val="24"/>
        </w:rPr>
        <w:t>Mid-Term Elections</w:t>
      </w:r>
      <w:r w:rsidR="0057067D" w:rsidRPr="008E71B9">
        <w:rPr>
          <w:b/>
          <w:bCs/>
          <w:sz w:val="24"/>
        </w:rPr>
        <w:t>.</w:t>
      </w:r>
      <w:r w:rsidRPr="008E71B9">
        <w:rPr>
          <w:sz w:val="24"/>
        </w:rPr>
        <w:t xml:space="preserve"> </w:t>
      </w:r>
      <w:bookmarkEnd w:id="3"/>
      <w:r w:rsidR="00EC20D1" w:rsidRPr="00B87E12">
        <w:t xml:space="preserve">The highest-probability outcome for the 2026 U.S. midterm elections is a </w:t>
      </w:r>
      <w:r w:rsidR="00EC20D1" w:rsidRPr="00B87E12">
        <w:rPr>
          <w:rStyle w:val="s1"/>
          <w:rFonts w:eastAsiaTheme="majorEastAsia"/>
        </w:rPr>
        <w:t>divided Congress</w:t>
      </w:r>
      <w:r w:rsidR="00EC20D1" w:rsidRPr="00B87E12">
        <w:t xml:space="preserve">, with </w:t>
      </w:r>
      <w:r w:rsidR="00EC20D1" w:rsidRPr="00B87E12">
        <w:rPr>
          <w:rStyle w:val="s1"/>
          <w:rFonts w:eastAsiaTheme="majorEastAsia"/>
        </w:rPr>
        <w:t>Democrats retaking control of the House</w:t>
      </w:r>
      <w:r w:rsidR="00EC20D1" w:rsidRPr="00B87E12">
        <w:t xml:space="preserve"> while </w:t>
      </w:r>
      <w:r w:rsidR="00EC20D1" w:rsidRPr="00B87E12">
        <w:rPr>
          <w:rStyle w:val="s1"/>
          <w:rFonts w:eastAsiaTheme="majorEastAsia"/>
        </w:rPr>
        <w:t>Republicans retain a narrow edge in the Senate</w:t>
      </w:r>
      <w:r w:rsidR="00EC20D1" w:rsidRPr="00B87E12">
        <w:t xml:space="preserve">. This scenario carries an estimated </w:t>
      </w:r>
      <w:r w:rsidR="00EC20D1" w:rsidRPr="00B87E12">
        <w:rPr>
          <w:rStyle w:val="s1"/>
          <w:rFonts w:eastAsiaTheme="majorEastAsia"/>
        </w:rPr>
        <w:t>45–50% probability</w:t>
      </w:r>
      <w:r w:rsidR="00EC20D1" w:rsidRPr="00B87E12">
        <w:t xml:space="preserve"> and reflects a convergence of historical precedent, current political dynamics, and the broader macroeconomic and policy environment projected for 2026.</w:t>
      </w:r>
    </w:p>
    <w:p w14:paraId="70B68BBA" w14:textId="77777777" w:rsidR="00EC20D1" w:rsidRDefault="00EC20D1" w:rsidP="00AC2D33">
      <w:r>
        <w:t xml:space="preserve">Historically, midterm elections strongly favor the party out of power in the White House, with the president’s party losing House seats in 17 of the past 19 cycles. With a Republican president in office, Democrats benefit from this structural tailwind, amplified by typical second-term approval erosion, heightened opposition mobilization, and sustained issue-based turnout—most notably around abortion rights, which continues to energize suburban and college-educated voters. Economically, even under a baseline scenario of modest aggregate improvement, persistent </w:t>
      </w:r>
      <w:r>
        <w:lastRenderedPageBreak/>
        <w:t>inflation in key household categories, elevated housing costs, regional inequality, and uneven productivity gains are likely to be attributed to the incumbent administration, reinforcing voter dissatisfaction.</w:t>
      </w:r>
    </w:p>
    <w:p w14:paraId="03C7B255" w14:textId="77777777" w:rsidR="00EC20D1" w:rsidRDefault="00EC20D1" w:rsidP="00AC2D33">
      <w:r>
        <w:t xml:space="preserve">Electorally, Republicans enter the 2026 cycle defending </w:t>
      </w:r>
      <w:proofErr w:type="gramStart"/>
      <w:r>
        <w:t>a number of</w:t>
      </w:r>
      <w:proofErr w:type="gramEnd"/>
      <w:r>
        <w:t xml:space="preserve"> competitive suburban House seats gained in 2024, particularly in states such as California, New York, Pennsylvania, and Arizona, which are vulnerable to Democratic recapture. By contrast, the Senate map remains structurally more favorable to Republicans, with fewer truly competitive seats at risk, making continued narrow Senate control—likely in the 51–53 seat range—the most plausible outcome. Alternative outcomes remain possible but less likely: Republicans retaining both chambers (approximately 25–30% probability) would require a material break from historical patterns, driven by unusually strong economic conditions, effective governance, and weak Democratic challengers.</w:t>
      </w:r>
    </w:p>
    <w:p w14:paraId="6D77CEE0" w14:textId="77777777" w:rsidR="00EC20D1" w:rsidRPr="00B87E12" w:rsidRDefault="00EC20D1" w:rsidP="00AC2D33">
      <w:r w:rsidRPr="00B87E12">
        <w:t xml:space="preserve">The resulting configuration—a </w:t>
      </w:r>
      <w:r w:rsidRPr="00B87E12">
        <w:rPr>
          <w:rStyle w:val="s1"/>
          <w:rFonts w:eastAsiaTheme="majorEastAsia"/>
        </w:rPr>
        <w:t>Democratic House, Republican Senate, and Republican president</w:t>
      </w:r>
      <w:r w:rsidRPr="00B87E12">
        <w:t xml:space="preserve">—would produce a politically fragmented environment characterized by </w:t>
      </w:r>
      <w:r w:rsidRPr="00B87E12">
        <w:rPr>
          <w:rStyle w:val="s1"/>
          <w:rFonts w:eastAsiaTheme="majorEastAsia"/>
        </w:rPr>
        <w:t>legislative gridlock on major fiscal, regulatory, and structural reforms</w:t>
      </w:r>
      <w:r w:rsidRPr="00B87E12">
        <w:t xml:space="preserve">. Budget negotiations, debt-ceiling confrontations, and short-term funding measures would dominate the legislative agenda, elevating policy uncertainty and reinforcing the outlook’s assessment that political dysfunction in 2026 constitutes a </w:t>
      </w:r>
      <w:r w:rsidRPr="00B87E12">
        <w:rPr>
          <w:rStyle w:val="s1"/>
          <w:rFonts w:eastAsiaTheme="majorEastAsia"/>
        </w:rPr>
        <w:t>first-order economic risk</w:t>
      </w:r>
      <w:r w:rsidRPr="00B87E12">
        <w:t>, not merely a transient volatility amplifier. In this environment, responses to fiscal pressures, AI regulation, climate and energy constraints, and geopolitical developments are likely to be reactive, negotiated, and incremental rather than strategic or comprehensive.</w:t>
      </w:r>
    </w:p>
    <w:p w14:paraId="7B531A9A" w14:textId="77777777" w:rsidR="00EC20D1" w:rsidRDefault="00EC20D1" w:rsidP="00AC2D33">
      <w:r>
        <w:t xml:space="preserve">Overall, the 2026 midterms are best understood not as a sharp political realignment, but as a continuation of the fragmented governance dynamic already shaping the </w:t>
      </w:r>
      <w:proofErr w:type="gramStart"/>
      <w:r>
        <w:t>macro outlook</w:t>
      </w:r>
      <w:proofErr w:type="gramEnd"/>
      <w:r>
        <w:t>: modest economic progress alongside heightened policy risk, constrained institutional capacity, and an increased likelihood that political mechanics—rather than underlying fundamentals—drive short-term confidence and market behavior.</w:t>
      </w:r>
    </w:p>
    <w:p w14:paraId="71CB3013" w14:textId="2706506A" w:rsidR="008F26AB" w:rsidRPr="0057067D" w:rsidRDefault="00364227" w:rsidP="00AC2D33">
      <w:pPr>
        <w:rPr>
          <w:sz w:val="28"/>
          <w:szCs w:val="28"/>
        </w:rPr>
      </w:pPr>
      <w:r w:rsidRPr="008E71B9">
        <w:rPr>
          <w:rStyle w:val="s1"/>
          <w:rFonts w:eastAsiaTheme="majorEastAsia"/>
          <w:b/>
          <w:bCs/>
          <w:sz w:val="24"/>
        </w:rPr>
        <w:t>Predicted unemployment rate</w:t>
      </w:r>
      <w:r w:rsidR="0057067D" w:rsidRPr="008E71B9">
        <w:rPr>
          <w:rStyle w:val="s1"/>
          <w:rFonts w:eastAsiaTheme="majorEastAsia"/>
          <w:b/>
          <w:bCs/>
          <w:sz w:val="24"/>
        </w:rPr>
        <w:t>.</w:t>
      </w:r>
      <w:r w:rsidRPr="008E71B9">
        <w:rPr>
          <w:sz w:val="24"/>
        </w:rPr>
        <w:t xml:space="preserve"> </w:t>
      </w:r>
      <w:bookmarkEnd w:id="1"/>
      <w:r w:rsidR="00260E75" w:rsidRPr="00B87E12">
        <w:t xml:space="preserve">The consolidated 2026 unemployment outlook centers on a </w:t>
      </w:r>
      <w:r w:rsidR="00260E75" w:rsidRPr="00B87E12">
        <w:rPr>
          <w:rStyle w:val="s1"/>
          <w:rFonts w:eastAsiaTheme="majorEastAsia"/>
        </w:rPr>
        <w:t>median estimate of approximately 4.35%</w:t>
      </w:r>
      <w:r w:rsidR="00260E75" w:rsidRPr="00B87E12">
        <w:t xml:space="preserve">, reflecting a labor market that cools modestly but remains structurally resilient. Based on the combined forecasts, the </w:t>
      </w:r>
      <w:r w:rsidR="00260E75" w:rsidRPr="00B87E12">
        <w:rPr>
          <w:rStyle w:val="s1"/>
          <w:rFonts w:eastAsiaTheme="majorEastAsia"/>
        </w:rPr>
        <w:t>most probable range is 4.2%–4.5%</w:t>
      </w:r>
      <w:r w:rsidR="00260E75" w:rsidRPr="00B87E12">
        <w:t>, indicating incremental slack rather than a deterioration consistent with recessionary conditions. Productivity gains and task-level automation are expected to offset labor demand at the margin without driving large-scale displacement, while continued investment in infrastructure, energy, defense, manufacturing, and AI-adjacent systems absorbs workforce transitions. Skilled labor shortages persist, and labor-market adjustment is more likely to occur through slower hiring and increased role churn than through a material rise in layoffs, keeping unemployment contained within this narrow band under the baseline 2026 scenario.</w:t>
      </w:r>
      <w:r w:rsidR="008F26AB">
        <w:br w:type="page"/>
      </w:r>
    </w:p>
    <w:p w14:paraId="6951FE73" w14:textId="77777777" w:rsidR="008F26AB" w:rsidRPr="008F26AB" w:rsidRDefault="008F26AB" w:rsidP="009B48AB">
      <w:pPr>
        <w:pStyle w:val="Heading2"/>
        <w:jc w:val="center"/>
      </w:pPr>
      <w:r w:rsidRPr="008F26AB">
        <w:lastRenderedPageBreak/>
        <w:t>DISRUPTIVE TECHNOLOGIES</w:t>
      </w:r>
    </w:p>
    <w:p w14:paraId="65BCD839" w14:textId="77777777" w:rsidR="009B48AB" w:rsidRDefault="009B48AB" w:rsidP="00AC2D33"/>
    <w:p w14:paraId="7A4CF11F" w14:textId="527175B1" w:rsidR="00FE4623" w:rsidRDefault="00FE4623" w:rsidP="00AC2D33">
      <w:r>
        <w:t>Disruptive technologies that play a role in 2026 include:</w:t>
      </w:r>
    </w:p>
    <w:p w14:paraId="07477ACB" w14:textId="77777777" w:rsidR="00FE4623" w:rsidRDefault="00FE4623" w:rsidP="009B48AB">
      <w:pPr>
        <w:pStyle w:val="ListParagraph"/>
        <w:numPr>
          <w:ilvl w:val="0"/>
          <w:numId w:val="65"/>
        </w:numPr>
      </w:pPr>
      <w:bookmarkStart w:id="4" w:name="OLE_LINK3"/>
      <w:r>
        <w:t xml:space="preserve">Mass deployment of AI, </w:t>
      </w:r>
    </w:p>
    <w:p w14:paraId="26730D2E" w14:textId="77777777" w:rsidR="00FE4623" w:rsidRDefault="00FE4623" w:rsidP="009B48AB">
      <w:pPr>
        <w:pStyle w:val="ListParagraph"/>
        <w:numPr>
          <w:ilvl w:val="0"/>
          <w:numId w:val="65"/>
        </w:numPr>
      </w:pPr>
      <w:r>
        <w:t xml:space="preserve">Energy storage &amp; grid-scale power electronics, </w:t>
      </w:r>
    </w:p>
    <w:p w14:paraId="077F3DDE" w14:textId="77777777" w:rsidR="00FE4623" w:rsidRDefault="00FE4623" w:rsidP="009B48AB">
      <w:pPr>
        <w:pStyle w:val="ListParagraph"/>
        <w:numPr>
          <w:ilvl w:val="0"/>
          <w:numId w:val="65"/>
        </w:numPr>
      </w:pPr>
      <w:r>
        <w:t xml:space="preserve">Advanced semiconductors beyond GPUs, </w:t>
      </w:r>
    </w:p>
    <w:p w14:paraId="6E3EF0C9" w14:textId="77777777" w:rsidR="00FE4623" w:rsidRDefault="00FE4623" w:rsidP="009B48AB">
      <w:pPr>
        <w:pStyle w:val="ListParagraph"/>
        <w:numPr>
          <w:ilvl w:val="0"/>
          <w:numId w:val="65"/>
        </w:numPr>
      </w:pPr>
      <w:r>
        <w:t xml:space="preserve">Autonomous systems, </w:t>
      </w:r>
    </w:p>
    <w:p w14:paraId="6FBD3596" w14:textId="77777777" w:rsidR="00FE4623" w:rsidRDefault="00FE4623" w:rsidP="009B48AB">
      <w:pPr>
        <w:pStyle w:val="ListParagraph"/>
        <w:numPr>
          <w:ilvl w:val="0"/>
          <w:numId w:val="65"/>
        </w:numPr>
      </w:pPr>
      <w:r>
        <w:t xml:space="preserve">Synthetic biology &amp; precision biomanufacturing, </w:t>
      </w:r>
    </w:p>
    <w:p w14:paraId="2B6BDF88" w14:textId="17FCE661" w:rsidR="00FE4623" w:rsidRDefault="00FE4623" w:rsidP="009B48AB">
      <w:pPr>
        <w:pStyle w:val="ListParagraph"/>
        <w:numPr>
          <w:ilvl w:val="0"/>
          <w:numId w:val="65"/>
        </w:numPr>
      </w:pPr>
      <w:r>
        <w:t xml:space="preserve">Space infrastructure, </w:t>
      </w:r>
    </w:p>
    <w:p w14:paraId="2744BE45" w14:textId="2AFFB332" w:rsidR="00FE4623" w:rsidRDefault="00FE4623" w:rsidP="009B48AB">
      <w:pPr>
        <w:pStyle w:val="ListParagraph"/>
        <w:numPr>
          <w:ilvl w:val="0"/>
          <w:numId w:val="65"/>
        </w:numPr>
      </w:pPr>
      <w:r w:rsidRPr="00FE4623">
        <w:t>Quantum-Adjacent Technologies (Not Full Quantum Computing)</w:t>
      </w:r>
      <w:r>
        <w:t>,</w:t>
      </w:r>
    </w:p>
    <w:p w14:paraId="0B82D106" w14:textId="25A9194C" w:rsidR="00FE4623" w:rsidRDefault="00FE4623" w:rsidP="009B48AB">
      <w:pPr>
        <w:pStyle w:val="ListParagraph"/>
        <w:numPr>
          <w:ilvl w:val="0"/>
          <w:numId w:val="65"/>
        </w:numPr>
      </w:pPr>
      <w:r w:rsidRPr="00FE4623">
        <w:t>Financial Infrastructure &amp; Tokenization</w:t>
      </w:r>
      <w:r>
        <w:t>,</w:t>
      </w:r>
    </w:p>
    <w:p w14:paraId="1C30F795" w14:textId="0FA857B2" w:rsidR="00FE4623" w:rsidRDefault="00FE4623" w:rsidP="009B48AB">
      <w:pPr>
        <w:pStyle w:val="ListParagraph"/>
        <w:numPr>
          <w:ilvl w:val="0"/>
          <w:numId w:val="65"/>
        </w:numPr>
      </w:pPr>
      <w:r w:rsidRPr="00FE4623">
        <w:t>Climate Engineering &amp; Adaptation Tech</w:t>
      </w:r>
      <w:r>
        <w:t>,</w:t>
      </w:r>
    </w:p>
    <w:p w14:paraId="4B7AB799" w14:textId="61E62905" w:rsidR="00FE4623" w:rsidRPr="00FE4623" w:rsidRDefault="00FE4623" w:rsidP="009B48AB">
      <w:pPr>
        <w:pStyle w:val="ListParagraph"/>
        <w:numPr>
          <w:ilvl w:val="0"/>
          <w:numId w:val="65"/>
        </w:numPr>
      </w:pPr>
      <w:r w:rsidRPr="00FE4623">
        <w:t>Defense &amp; Dual-Use Technologies</w:t>
      </w:r>
    </w:p>
    <w:bookmarkEnd w:id="4"/>
    <w:p w14:paraId="7E23A362" w14:textId="77777777" w:rsidR="00FE4623" w:rsidRDefault="00FE4623" w:rsidP="00AC2D33">
      <w:pPr>
        <w:rPr>
          <w:b/>
          <w:bCs/>
        </w:rPr>
      </w:pPr>
    </w:p>
    <w:p w14:paraId="0D91A069" w14:textId="2FFF62FD" w:rsidR="008E6B20" w:rsidRPr="0057067D" w:rsidRDefault="00FE4623" w:rsidP="009B48AB">
      <w:pPr>
        <w:rPr>
          <w:b/>
          <w:bCs/>
          <w:sz w:val="28"/>
          <w:szCs w:val="28"/>
        </w:rPr>
      </w:pPr>
      <w:r w:rsidRPr="008E71B9">
        <w:rPr>
          <w:b/>
          <w:bCs/>
          <w:sz w:val="24"/>
        </w:rPr>
        <w:t>Mass Deployment of AI</w:t>
      </w:r>
      <w:r w:rsidR="0057067D" w:rsidRPr="008E71B9">
        <w:rPr>
          <w:b/>
          <w:bCs/>
          <w:sz w:val="24"/>
        </w:rPr>
        <w:t xml:space="preserve">. </w:t>
      </w:r>
      <w:r w:rsidR="00260E75">
        <w:t xml:space="preserve">In 2026, AI remains the single most important driver of economic transformation, but the narrative decisively shifts from model breakthroughs toward mass deployment, integration, and operational impact. Enterprises move beyond pilots to scaled implementation, embedding increasingly reliable, multimodal, and context-aware foundation models—and, critically, autonomous agent systems—into core workflows across healthcare, logistics, finance, manufacturing, compliance, software development, and customer operations. These agentic systems automate multi-step tasks, coordinate tools, retrieve and synthesize data, and execute decisions within defined guardrails, delivering measurable productivity gains primarily through augmentation rather than wholesale labor replacement. Mid-skill white-collar roles face rising displacement pressure, but broad unemployment effects remain limited, as efficiency gains, task substitution, and continued demand for skilled labor dominate the adjustment. </w:t>
      </w:r>
    </w:p>
    <w:p w14:paraId="72110EF8" w14:textId="73378E43" w:rsidR="00B87E12" w:rsidRPr="009B48AB" w:rsidRDefault="00260E75" w:rsidP="009B48AB">
      <w:r>
        <w:t>At the macro level, AI catalyzes a historic capex cycle—potentially approaching $2 trillion globally by 2026—spanning data centers, advanced semiconductors, networking, and power infrastructure, while also creating construction, engineering, and energy-adjacent employment even as an “AI mini-cycle” raises the risk of localized overbuild and partial correction by late 2026 or 2027. Infrastructure constraints emerge as the primary limiter of AI’s pace and distribution: electricity availability, grid interconnection delays, and energy sourcing become binding bottlenecks, concentrating benefits in regions with excess power and widening geographic dispersion. At the same time, AI becomes a strategic and geopolitical asset, intensifying competition over chips, talent, data sovereignty, and rare-earth supply chains, while regulation tightens globally around transparency, liability, bias, watermarking, and sector-specific guardrails—particularly in health, finance, defense, and education. Cybersecurity risk escalates as AI accelerates both offense and defense, raising the probability of high-impact incidents even as firms adapt. By the end of 2026, AI is more capable, more regulated, more distributed, and more essential to economic performance, with its trajectory remaining strongly positive but increasingly shaped by non-technical constraints—</w:t>
      </w:r>
      <w:r>
        <w:lastRenderedPageBreak/>
        <w:t>energy, infrastructure, regulation, cybersecurity, and geopolitics—rather than by model capability alone.</w:t>
      </w:r>
    </w:p>
    <w:p w14:paraId="78BD27F1" w14:textId="5A00F703" w:rsidR="00D545E8" w:rsidRPr="0057067D" w:rsidRDefault="00235675" w:rsidP="009B48AB">
      <w:pPr>
        <w:rPr>
          <w:b/>
          <w:bCs/>
          <w:sz w:val="28"/>
          <w:szCs w:val="28"/>
        </w:rPr>
      </w:pPr>
      <w:r w:rsidRPr="008E71B9">
        <w:rPr>
          <w:b/>
          <w:bCs/>
          <w:sz w:val="24"/>
        </w:rPr>
        <w:t>Energy storage &amp; grid-scale power electronics</w:t>
      </w:r>
      <w:r w:rsidR="0057067D" w:rsidRPr="008E71B9">
        <w:rPr>
          <w:b/>
          <w:bCs/>
          <w:sz w:val="24"/>
        </w:rPr>
        <w:t xml:space="preserve">. </w:t>
      </w:r>
      <w:r w:rsidR="0057067D" w:rsidRPr="0057067D">
        <w:t>I</w:t>
      </w:r>
      <w:r w:rsidR="008E6B20">
        <w:t xml:space="preserve">n 2026, energy storage and grid-scale power electronics transition from enabling technologies to </w:t>
      </w:r>
      <w:r w:rsidR="008E6B20">
        <w:rPr>
          <w:rStyle w:val="s1"/>
          <w:rFonts w:eastAsiaTheme="majorEastAsia"/>
          <w:b/>
          <w:bCs/>
        </w:rPr>
        <w:t>strategic economic infrastructure</w:t>
      </w:r>
      <w:r w:rsidR="008E6B20">
        <w:t>, playing a central role in determining where growth can occur and how resilient it is. Deployment of utility-scale battery storage—primarily lithium-ion variants such as LFP, alongside early sodium-ion and limited long-duration systems—accelerates as costs decline and projects move from pilots into operational service. In high-renewable regions such as California, Texas, and parts of the Southwest, 4–</w:t>
      </w:r>
      <w:proofErr w:type="gramStart"/>
      <w:r w:rsidR="008E6B20">
        <w:t>8 hour</w:t>
      </w:r>
      <w:proofErr w:type="gramEnd"/>
      <w:r w:rsidR="008E6B20">
        <w:t xml:space="preserve"> storage meaningfully improves reliability, smooths solar and wind output, reduces curtailment, and lowers reliance on fossil-fuel peakers during peak demand. At the same time, advances in grid-forming inverters, solid-state transformers, HVDC links, and wide-bandgap power electronics improve frequency regulation, voltage support, black-start capability, and transmission efficiency, enabling higher renewable penetration and supporting rising loads from data centers, advanced manufacturing, and electrified industry. However, 2026 also exposes structural constraints: inverter-dominated grids fundamentally change system dynamics, making power quality, frequency stability, interconnection queues, permitting timelines, and transmission shortages binding bottlenecks. These frictions create regional energy bottlenecks, uneven electricity pricing, delayed industrial and data-center projects, and rising utility capital expenditures that are partially passed through to ratepayers. As a result, the economic impact is mixed but pivotal—incremental rather than fully transformative at the national level, yet decisive at the regional and project scale. Regions that modernize grids early attract disproportionate capital and jobs, while lagging regions face growth constraints despite ample demand. By the end of 2026, the grid does not fail, but electricity unmistakably shifts from a background utility to a </w:t>
      </w:r>
      <w:r w:rsidR="008E6B20" w:rsidRPr="00B87E12">
        <w:rPr>
          <w:rStyle w:val="s1"/>
          <w:rFonts w:eastAsiaTheme="majorEastAsia"/>
        </w:rPr>
        <w:t>first-order economic input</w:t>
      </w:r>
      <w:r w:rsidR="008E6B20" w:rsidRPr="00B87E12">
        <w:t>,</w:t>
      </w:r>
      <w:r w:rsidR="008E6B20">
        <w:t xml:space="preserve"> shaping AI deployment, industrial reshoring, climate resilience, and geographic dispersion of growth, while laying the foundation for more transformative gains in the 2027–2030 period.</w:t>
      </w:r>
    </w:p>
    <w:p w14:paraId="0F526657" w14:textId="709E10EB" w:rsidR="0057067D" w:rsidRDefault="00CE254F" w:rsidP="00AC2D33">
      <w:pPr>
        <w:rPr>
          <w:b/>
          <w:bCs/>
          <w:sz w:val="28"/>
          <w:szCs w:val="28"/>
        </w:rPr>
      </w:pPr>
      <w:r w:rsidRPr="008E71B9">
        <w:rPr>
          <w:b/>
          <w:bCs/>
          <w:sz w:val="24"/>
        </w:rPr>
        <w:t>Advanced semiconductors beyond GPUs</w:t>
      </w:r>
      <w:r w:rsidR="0057067D" w:rsidRPr="008E71B9">
        <w:rPr>
          <w:b/>
          <w:bCs/>
          <w:sz w:val="24"/>
        </w:rPr>
        <w:t xml:space="preserve">. </w:t>
      </w:r>
      <w:r w:rsidR="008E6B20" w:rsidRPr="005C3B4E">
        <w:t xml:space="preserve">In 2026, advanced semiconductors beyond GPUs—encompassing custom accelerators (ASICs), inference-optimized AI chips, chiplets, advanced packaging, high-bandwidth memory (HBM), photonics, and new interconnect standards—transition from niche enablers into </w:t>
      </w:r>
      <w:r w:rsidR="008E6B20" w:rsidRPr="005C3B4E">
        <w:rPr>
          <w:rStyle w:val="s1"/>
          <w:rFonts w:eastAsiaTheme="majorEastAsia"/>
        </w:rPr>
        <w:t>core economic infrastructure</w:t>
      </w:r>
      <w:r w:rsidR="008E6B20" w:rsidRPr="005C3B4E">
        <w:t xml:space="preserve">, reshaping how compute scales under power, cost, and geopolitical constraints. As GPU supply limits and energy intensity remain binding, hyperscalers, cloud providers, and large enterprises increasingly deploy domain-specific silicon optimized for inference, networking, storage, automotive autonomy, edge computing, and data movement rather than generalized training workloads. This shift expands the feasible frontier for AI deployment—particularly inference and edge intelligence—by improving performance per watt and per dollar, supporting continued productivity gains while reducing marginal energy intensity. Economically, value creation broadens across the semiconductor stack, elevating the importance of IP design, advanced packaging, memory, interconnects, and equipment suppliers rather than concentrating returns solely in GPU vendors. At the same time, the sector’s scale approaches a structural milestone, with AI-driven demand pushing the broader semiconductor market toward the $1 trillion threshold, reinforcing its role as a macroeconomic lever rather than a cyclical technology segment. However, the 2026 impact is </w:t>
      </w:r>
      <w:r w:rsidR="008E6B20" w:rsidRPr="005C3B4E">
        <w:rPr>
          <w:rStyle w:val="s1"/>
          <w:rFonts w:eastAsiaTheme="majorEastAsia"/>
        </w:rPr>
        <w:t>incremental rather than transformative</w:t>
      </w:r>
      <w:r w:rsidR="008E6B20" w:rsidRPr="005C3B4E">
        <w:t xml:space="preserve"> at the aggregate level. Long design-to-production lead times, yield constraints in advanced packaging and 3D stacking, limited HBM availability, and delays in CHIPS Act-backed fab construction </w:t>
      </w:r>
      <w:r w:rsidR="008E6B20" w:rsidRPr="005C3B4E">
        <w:lastRenderedPageBreak/>
        <w:t>constrain near-term supply expansion, pushing meaningful domestic capacity additions into the 2027–2029 window. Geopolitical fragmentation, export controls, and continued Taiwan concentration—still accounting for roughly 60–70% of advanced chip production—limit diversification and raise costs, reinforcing strategic competition rather than eliminating supply risk.</w:t>
      </w:r>
      <w:r w:rsidR="008E6B20">
        <w:t xml:space="preserve"> As a result, advanced semiconductors beyond GPUs relieve compute and energy bottlenecks unevenly, intensify capital intensity and industrial concentration, and shift choke points toward packaging, memory, and interconnect ecosystems. By the end of 2026, these technologies clearly underpin AI, cloud, automotive, and industrial scaling, but their full economic impact remains shaped less by technical capability than by supply-chain structure, geopolitics, and capital deployment speed—setting the stage for more decisive transformation later in the decade.</w:t>
      </w:r>
    </w:p>
    <w:p w14:paraId="60CE4222" w14:textId="767C082C" w:rsidR="00943EB5" w:rsidRPr="005C3B4E" w:rsidRDefault="00CE254F" w:rsidP="00AC2D33">
      <w:pPr>
        <w:rPr>
          <w:sz w:val="28"/>
          <w:szCs w:val="28"/>
        </w:rPr>
      </w:pPr>
      <w:r w:rsidRPr="008E71B9">
        <w:rPr>
          <w:b/>
          <w:bCs/>
          <w:sz w:val="24"/>
        </w:rPr>
        <w:t>Autonomous systems</w:t>
      </w:r>
      <w:r w:rsidR="0057067D" w:rsidRPr="008E71B9">
        <w:rPr>
          <w:b/>
          <w:bCs/>
          <w:sz w:val="24"/>
        </w:rPr>
        <w:t xml:space="preserve">. </w:t>
      </w:r>
      <w:r w:rsidR="00943EB5" w:rsidRPr="005C3B4E">
        <w:t xml:space="preserve">In 2026, autonomous systems transition decisively from pilot programs to </w:t>
      </w:r>
      <w:r w:rsidR="00943EB5" w:rsidRPr="005C3B4E">
        <w:rPr>
          <w:rStyle w:val="s1"/>
          <w:rFonts w:eastAsiaTheme="majorEastAsia"/>
        </w:rPr>
        <w:t>embedded commercial infrastructure</w:t>
      </w:r>
      <w:r w:rsidR="00943EB5" w:rsidRPr="005C3B4E">
        <w:t xml:space="preserve">, delivering measurable economic impact without a mass consumer rollout. Deployment concentrates in </w:t>
      </w:r>
      <w:r w:rsidR="00943EB5" w:rsidRPr="005C3B4E">
        <w:rPr>
          <w:rStyle w:val="s1"/>
          <w:rFonts w:eastAsiaTheme="majorEastAsia"/>
        </w:rPr>
        <w:t>structured, physically constrained environments</w:t>
      </w:r>
      <w:r w:rsidR="00943EB5" w:rsidRPr="005C3B4E">
        <w:t xml:space="preserve">—logistics yards and warehouses, ports, agriculture, mining, construction sites, manufacturing operations, and selected highway freight corridors—where labor shortages, safety risks, and uptime constraints are most acute. Autonomous forklifts, yard trucks, warehouse robots, agricultural harvesting equipment, inspection drones, and autonomous haul trucks increase throughput, extend operating hours, reduce injury rates, and stabilize output, generating </w:t>
      </w:r>
      <w:r w:rsidR="00943EB5" w:rsidRPr="005C3B4E">
        <w:rPr>
          <w:rStyle w:val="s1"/>
          <w:rFonts w:eastAsiaTheme="majorEastAsia"/>
        </w:rPr>
        <w:t>incremental productivity gains of roughly 5–15% in adopting facilities</w:t>
      </w:r>
      <w:r w:rsidR="00943EB5" w:rsidRPr="005C3B4E">
        <w:t xml:space="preserve">. These improvements strengthen supply-chain resilience in freight, food production, and industrial materials, contributing modestly to GDP growth and easing inflationary pressure by lowering unit labor costs in key bottleneck sectors. On-road autonomy advances more selectively: </w:t>
      </w:r>
      <w:proofErr w:type="gramStart"/>
      <w:r w:rsidR="00943EB5" w:rsidRPr="005C3B4E">
        <w:t>Level-4</w:t>
      </w:r>
      <w:proofErr w:type="gramEnd"/>
      <w:r w:rsidR="00943EB5" w:rsidRPr="005C3B4E">
        <w:t xml:space="preserve"> trucking appears on specific highway corridors (notably in Texas and Arizona) with drivers retained for edge cases, while consumer robotaxi services expand only marginally in a handful of cities and remain constrained by safety incidents, public acceptance, and regulatory approval.</w:t>
      </w:r>
    </w:p>
    <w:p w14:paraId="2D5379FF" w14:textId="672CCFBA" w:rsidR="0057067D" w:rsidRPr="005C3B4E" w:rsidRDefault="00943EB5" w:rsidP="00AC2D33">
      <w:r w:rsidRPr="005C3B4E">
        <w:t xml:space="preserve">The labor impact in 2026 is </w:t>
      </w:r>
      <w:r w:rsidRPr="005C3B4E">
        <w:rPr>
          <w:rStyle w:val="s1"/>
          <w:rFonts w:eastAsiaTheme="majorEastAsia"/>
        </w:rPr>
        <w:t>real but muted at the macro level</w:t>
      </w:r>
      <w:r w:rsidRPr="005C3B4E">
        <w:t xml:space="preserve">. Autonomous systems primarily displace </w:t>
      </w:r>
      <w:r w:rsidRPr="005C3B4E">
        <w:rPr>
          <w:rStyle w:val="s1"/>
          <w:rFonts w:eastAsiaTheme="majorEastAsia"/>
        </w:rPr>
        <w:t>tasks rather than jobs</w:t>
      </w:r>
      <w:r w:rsidRPr="005C3B4E">
        <w:t xml:space="preserve">, reducing overtime, temporary roles, and entry-level positions in logistics, warehousing, and field operations while increasing demand for higher-skill supervisory, maintenance, and systems-integration roles. This dynamic dampens wage growth in certain blue-collar segments and widens regional and skill-based dispersion without triggering a visible employment shock in headline data. Capital intensity and scale advantages favor large operators, accelerating consolidation in sectors such as logistics services, agriculture equipment leasing, and construction, while smaller firms face higher adoption barriers. Regulatory and liability frameworks continue to lag deployment, creating friction around safety standards, insurance, union responses, and public trust, which slows expansion beyond controlled domains. By the end of 2026, autonomous systems are no longer viewed as experimental or futuristic; they become </w:t>
      </w:r>
      <w:r w:rsidRPr="005C3B4E">
        <w:rPr>
          <w:rStyle w:val="s1"/>
          <w:rFonts w:eastAsiaTheme="majorEastAsia"/>
        </w:rPr>
        <w:t>quietly embedded infrastructure</w:t>
      </w:r>
      <w:r w:rsidRPr="005C3B4E">
        <w:t>, reshaping productivity, safety, and competitive advantage across industrial and logistics ecosystems. Their full transformative potential, however, remains constrained by regulation, liability, and social adaptation, positioning autonomy as a structural growth driver whose most disruptive effects are more likely to materialize in the 2027–2030 period rather than fully in 2026.</w:t>
      </w:r>
    </w:p>
    <w:p w14:paraId="54183A71" w14:textId="789954B4" w:rsidR="00943EB5" w:rsidRPr="0057067D" w:rsidRDefault="00CE254F" w:rsidP="00AC2D33">
      <w:pPr>
        <w:rPr>
          <w:b/>
          <w:bCs/>
          <w:sz w:val="28"/>
          <w:szCs w:val="28"/>
        </w:rPr>
      </w:pPr>
      <w:r w:rsidRPr="008E71B9">
        <w:rPr>
          <w:b/>
          <w:bCs/>
          <w:sz w:val="24"/>
        </w:rPr>
        <w:lastRenderedPageBreak/>
        <w:t>Synthetic biology &amp; precision biomanufacturing</w:t>
      </w:r>
      <w:r w:rsidR="0057067D" w:rsidRPr="008E71B9">
        <w:rPr>
          <w:b/>
          <w:bCs/>
          <w:sz w:val="24"/>
        </w:rPr>
        <w:t xml:space="preserve">. </w:t>
      </w:r>
      <w:r w:rsidR="00943EB5" w:rsidRPr="005C3B4E">
        <w:t xml:space="preserve">In 2026, synthetic biology and precision biomanufacturing transition from research-centric innovation into </w:t>
      </w:r>
      <w:r w:rsidR="00943EB5" w:rsidRPr="005C3B4E">
        <w:rPr>
          <w:rStyle w:val="s1"/>
          <w:rFonts w:eastAsiaTheme="majorEastAsia"/>
        </w:rPr>
        <w:t>commercially meaningful but highly selective production</w:t>
      </w:r>
      <w:r w:rsidR="00943EB5" w:rsidRPr="005C3B4E">
        <w:t xml:space="preserve">, generating economic impact that is real yet largely invisible in headline GDP or employment statistics. Advances in AI-assisted protein design, enzyme engineering, mRNA platforms, and precision fermentation enable biological systems to replace or augment traditional petrochemical and chemical processes for </w:t>
      </w:r>
      <w:r w:rsidR="00943EB5" w:rsidRPr="005C3B4E">
        <w:rPr>
          <w:rStyle w:val="s1"/>
          <w:rFonts w:eastAsiaTheme="majorEastAsia"/>
        </w:rPr>
        <w:t>high-value, low-volume applications</w:t>
      </w:r>
      <w:r w:rsidR="00943EB5" w:rsidRPr="005C3B4E">
        <w:t xml:space="preserve">—including specialty pharmaceuticals, vaccines, rare-disease therapies, food ingredients, enzymes, and niche materials. These technologies shorten design-to-production cycles, reduce dependence on geographically concentrated chemical supply chains, and improve resilience in critical inputs, particularly across pharmaceuticals, agriculture, and specialty materials. Their primary macro contribution in 2026 is therefore </w:t>
      </w:r>
      <w:r w:rsidR="00943EB5" w:rsidRPr="005C3B4E">
        <w:rPr>
          <w:rStyle w:val="s1"/>
          <w:rFonts w:eastAsiaTheme="majorEastAsia"/>
        </w:rPr>
        <w:t>option value and structural resilience</w:t>
      </w:r>
      <w:r w:rsidR="00943EB5" w:rsidRPr="005C3B4E">
        <w:t xml:space="preserve"> rather than scale: more flexible supply, faster innovation pipelines, and greater strategic control over inputs that are disproportionately important during shocks.</w:t>
      </w:r>
    </w:p>
    <w:p w14:paraId="6D9C07A6" w14:textId="77777777" w:rsidR="00943EB5" w:rsidRDefault="00943EB5" w:rsidP="00AC2D33">
      <w:r>
        <w:t>The economic effects are uneven and capital-intensive. Precision biomanufacturing requires substantial upfront investment in fermentation capacity, skilled labor, regulatory compliance, and quality control, favoring large incumbents, well-capitalized startups, and established biotech hubs such as Boston, San Francisco, San Diego, and the Research Triangle. Manufacturing scale-up challenges, regulatory approval timelines across FDA, EPA, and USDA, and public acceptance issues around GMOs constrain broader deployment, keeping most activity confined to targeted, high-margin use cases. As a result, traditional chemical producers and contract manufacturers face margin pressure in select niches rather than systemic disruption, while biosecurity, intellectual-property protection, and oversight requirements rise as biological “recipes” become increasingly digitized and transferable. Sector employment remains limited—well under 0.5% of GDP contribution in 2026—even as venture investment, clinical progress, and process optimization accelerate behind the scenes.</w:t>
      </w:r>
    </w:p>
    <w:p w14:paraId="66E04C67" w14:textId="165069CE" w:rsidR="00943EB5" w:rsidRPr="005C3B4E" w:rsidRDefault="00943EB5" w:rsidP="00AC2D33">
      <w:r w:rsidRPr="005C3B4E">
        <w:t xml:space="preserve">At the national and global level, synthetic biology in 2026 is best understood as </w:t>
      </w:r>
      <w:r w:rsidRPr="005C3B4E">
        <w:rPr>
          <w:rStyle w:val="s1"/>
          <w:rFonts w:eastAsiaTheme="majorEastAsia"/>
        </w:rPr>
        <w:t>foundation-building rather than transformative</w:t>
      </w:r>
      <w:r w:rsidRPr="005C3B4E">
        <w:t>. It quietly reshapes specific supply chains, improves resilience, and advances industrial policy objectives without yet altering aggregate economic outcomes. Breakthroughs in vaccines, cell and gene therapies, and precision fermentation demonstrate the technology’s potential, but scale, cost, and regulatory friction delay mass penetration. By the end of 2026, synthetic biology and precision biomanufacturing are no longer experimental; they are embedded industrial tools with growing strategic importance. Their disruptive impact lies less in immediate growth than in positioning the economy for a more flexible, sustainable, and resilient production model, with far larger effects likely to materialize in the late-2020s and early-2030s rather than fully within 2026.</w:t>
      </w:r>
    </w:p>
    <w:p w14:paraId="152D8F1C" w14:textId="45EAC725" w:rsidR="006240CC" w:rsidRPr="0057067D" w:rsidRDefault="00CE254F" w:rsidP="00AC2D33">
      <w:pPr>
        <w:rPr>
          <w:b/>
          <w:bCs/>
          <w:sz w:val="28"/>
          <w:szCs w:val="28"/>
        </w:rPr>
      </w:pPr>
      <w:r w:rsidRPr="008E71B9">
        <w:rPr>
          <w:b/>
          <w:bCs/>
          <w:sz w:val="24"/>
        </w:rPr>
        <w:t>Space infrastructure</w:t>
      </w:r>
      <w:r w:rsidR="008E71B9" w:rsidRPr="008E71B9">
        <w:rPr>
          <w:b/>
          <w:bCs/>
          <w:sz w:val="24"/>
        </w:rPr>
        <w:t>.</w:t>
      </w:r>
      <w:r w:rsidRPr="008E71B9">
        <w:rPr>
          <w:b/>
          <w:bCs/>
          <w:sz w:val="24"/>
        </w:rPr>
        <w:t xml:space="preserve"> </w:t>
      </w:r>
      <w:r w:rsidR="0057067D" w:rsidRPr="008E71B9">
        <w:rPr>
          <w:b/>
          <w:bCs/>
          <w:sz w:val="24"/>
        </w:rPr>
        <w:t xml:space="preserve"> </w:t>
      </w:r>
      <w:r w:rsidR="006240CC">
        <w:t>I</w:t>
      </w:r>
      <w:r w:rsidR="006240CC" w:rsidRPr="005C3B4E">
        <w:t xml:space="preserve">n 2026, space infrastructure—encompassing launch services, proliferated low-Earth-orbit (LEO) satellite constellations, ground stations, Earth observation, and early on-orbit servicing—crosses a critical threshold from exploratory activity into </w:t>
      </w:r>
      <w:r w:rsidR="006240CC" w:rsidRPr="005C3B4E">
        <w:rPr>
          <w:rStyle w:val="s1"/>
          <w:rFonts w:eastAsiaTheme="majorEastAsia"/>
        </w:rPr>
        <w:t>operational economic infrastructure</w:t>
      </w:r>
      <w:r w:rsidR="006240CC" w:rsidRPr="005C3B4E">
        <w:t xml:space="preserve">. Record launch volumes and a broadening spacecraft ecosystem expand the density, reliability, and redundancy of space-based communications, navigation, and sensing. LEO broadband constellations extend connectivity to underserved rural and remote regions, while Earth-observation capabilities provide higher-frequency, near-real-time data for agriculture, </w:t>
      </w:r>
      <w:r w:rsidR="006240CC" w:rsidRPr="005C3B4E">
        <w:lastRenderedPageBreak/>
        <w:t xml:space="preserve">insurance, energy, logistics, climate monitoring, and disaster response. These advances reduce information gaps, improve coordination, and enhance resilience across multiple sectors, delivering </w:t>
      </w:r>
      <w:r w:rsidR="006240CC" w:rsidRPr="005C3B4E">
        <w:rPr>
          <w:rStyle w:val="s1"/>
          <w:rFonts w:eastAsiaTheme="majorEastAsia"/>
        </w:rPr>
        <w:t>incremental productivity and risk-management benefits</w:t>
      </w:r>
      <w:r w:rsidR="006240CC" w:rsidRPr="005C3B4E">
        <w:t xml:space="preserve"> rather than a visible surge in headline growth. The direct macroeconomic footprint remains small—well under 0.2% of GDP and limited job creation concentrated among launch providers, aerospace firms, and government contractors—but the </w:t>
      </w:r>
      <w:r w:rsidR="006240CC" w:rsidRPr="005C3B4E">
        <w:rPr>
          <w:rStyle w:val="s1"/>
          <w:rFonts w:eastAsiaTheme="majorEastAsia"/>
        </w:rPr>
        <w:t>indirect economic value is disproportionately large</w:t>
      </w:r>
      <w:r w:rsidR="006240CC" w:rsidRPr="005C3B4E">
        <w:t>, as space-derived data increasingly substitutes for slower, less precise terrestrial information sources.</w:t>
      </w:r>
    </w:p>
    <w:p w14:paraId="3BA4C30A" w14:textId="77777777" w:rsidR="006240CC" w:rsidRPr="005C3B4E" w:rsidRDefault="006240CC" w:rsidP="00AC2D33">
      <w:r w:rsidRPr="005C3B4E">
        <w:t xml:space="preserve">The disruptive effects in 2026 are most pronounced in </w:t>
      </w:r>
      <w:r w:rsidRPr="005C3B4E">
        <w:rPr>
          <w:rStyle w:val="s1"/>
          <w:rFonts w:eastAsiaTheme="majorEastAsia"/>
        </w:rPr>
        <w:t>information asymmetry, security, and governance</w:t>
      </w:r>
      <w:r w:rsidRPr="005C3B4E">
        <w:t>, rather than consumer markets. Ubiquitous Earth observation compresses informational advantages, reshaping risk pricing in insurance, commodities, and real estate while raising new regulatory, privacy, and compliance pressures. Space itself becomes more contested and operationally constrained: congestion in key orbital bands, rising debris risk, spectrum coordination challenges, and the growing need for space-traffic management increase costs and complexity. Defense and dual-use considerations intensify as space assets become integral to national security, ISR, and communications resilience, driving sustained government investment and reinforcing space infrastructure as a geopolitical lever in U.S.–China competition. These dynamics favor well-capitalized operators and accelerate consolidation, while smaller entrants face higher insurance, regulatory, and capital barriers. High-profile developments—such as early commercial stations, orbital manufacturing experiments, and expanded cislunar activity—advance technologically in 2026 but remain largely pre-revenue and do not materially alter near-term economic fundamentals.</w:t>
      </w:r>
    </w:p>
    <w:p w14:paraId="0525F6CD" w14:textId="68B2BC89" w:rsidR="006240CC" w:rsidRPr="005C3B4E" w:rsidRDefault="006240CC" w:rsidP="00AC2D33">
      <w:r w:rsidRPr="005C3B4E">
        <w:t xml:space="preserve">Overall, the impact of space infrastructure in 2026 is </w:t>
      </w:r>
      <w:r w:rsidRPr="005C3B4E">
        <w:rPr>
          <w:rStyle w:val="s1"/>
          <w:rFonts w:eastAsiaTheme="majorEastAsia"/>
        </w:rPr>
        <w:t>quietly transformative but uneven</w:t>
      </w:r>
      <w:r w:rsidRPr="005C3B4E">
        <w:t xml:space="preserve">. It does not produce a consumer-facing boom or materially shift aggregate growth metrics, yet it embeds space-derived connectivity and intelligence into the everyday functioning of the economy. By the end of the year, space infrastructure is treated less as a frontier industry and more as </w:t>
      </w:r>
      <w:r w:rsidRPr="005C3B4E">
        <w:rPr>
          <w:rStyle w:val="s1"/>
          <w:rFonts w:eastAsiaTheme="majorEastAsia"/>
        </w:rPr>
        <w:t>critical national and economic infrastructure</w:t>
      </w:r>
      <w:r w:rsidRPr="005C3B4E">
        <w:t>, shaping competitiveness, risk management, and geopolitical posture in ways that are economically meaningful but largely invisible to the public. Its greatest value lies in resilience, optionality, and strategic positioning, with more overtly transformative commercial applications likely deferred to the late 2020s and 2030s rather than fully realized in 2026.</w:t>
      </w:r>
    </w:p>
    <w:p w14:paraId="7EE1A7A6" w14:textId="5D64BE94" w:rsidR="00305F92" w:rsidRPr="005C3B4E" w:rsidRDefault="00CE254F" w:rsidP="00AC2D33">
      <w:pPr>
        <w:rPr>
          <w:sz w:val="28"/>
          <w:szCs w:val="28"/>
        </w:rPr>
      </w:pPr>
      <w:r w:rsidRPr="008E71B9">
        <w:rPr>
          <w:b/>
          <w:bCs/>
          <w:sz w:val="24"/>
        </w:rPr>
        <w:t>Quantum-Adjacent Technologies (Not Full Quantum Computing)</w:t>
      </w:r>
      <w:r w:rsidR="008E71B9" w:rsidRPr="008E71B9">
        <w:rPr>
          <w:b/>
          <w:bCs/>
          <w:sz w:val="24"/>
        </w:rPr>
        <w:t>.</w:t>
      </w:r>
      <w:r w:rsidR="0057067D" w:rsidRPr="008E71B9">
        <w:rPr>
          <w:b/>
          <w:bCs/>
          <w:sz w:val="24"/>
        </w:rPr>
        <w:t xml:space="preserve"> </w:t>
      </w:r>
      <w:r w:rsidR="00305F92" w:rsidRPr="005C3B4E">
        <w:t xml:space="preserve">In 2026, quantum-adjacent technologies—spanning quantum sensing, quantum-inspired optimization, advanced photonics, timing and metrology systems, cryogenic control, and post-quantum cryptography—begin to deliver </w:t>
      </w:r>
      <w:r w:rsidR="00305F92" w:rsidRPr="005C3B4E">
        <w:rPr>
          <w:rStyle w:val="s1"/>
          <w:rFonts w:eastAsiaTheme="majorEastAsia"/>
        </w:rPr>
        <w:t>practical, near-term economic value without relying on fault-tolerant quantum computers</w:t>
      </w:r>
      <w:r w:rsidR="00305F92" w:rsidRPr="005C3B4E">
        <w:t xml:space="preserve">. These technologies operate largely on classical or hybrid systems and generate impact through precision, optimization, and resilience rather than breakthrough computation. Quantum sensing improves accuracy in navigation, geological surveying, infrastructure inspection, medical imaging, and defense applications, reducing error rates and operational costs in energy exploration, advanced manufacturing, and national security. In parallel, quantum-inspired algorithms running on classical hardware see increased adoption in logistics, industrial scheduling, portfolio optimization, and selected research domains, producing </w:t>
      </w:r>
      <w:r w:rsidR="00305F92" w:rsidRPr="005C3B4E">
        <w:rPr>
          <w:rStyle w:val="s1"/>
          <w:rFonts w:eastAsiaTheme="majorEastAsia"/>
        </w:rPr>
        <w:t>incremental but measurable efficiency gains</w:t>
      </w:r>
      <w:r w:rsidR="00305F92" w:rsidRPr="005C3B4E">
        <w:t xml:space="preserve"> that quietly enhance system performance rather than driving visible productivity surges. At the same time, uncertainty around future cryptographic vulnerability accelerates implementation of post-quantum </w:t>
      </w:r>
      <w:r w:rsidR="00305F92" w:rsidRPr="005C3B4E">
        <w:lastRenderedPageBreak/>
        <w:t>cryptography standards—particularly across government, finance, and critical infrastructure—resulting in largely defensive IT investment that raises compliance costs but improves long-term security posture.</w:t>
      </w:r>
    </w:p>
    <w:p w14:paraId="24AAB9A5" w14:textId="485C52D4" w:rsidR="00305F92" w:rsidRDefault="00305F92" w:rsidP="00AC2D33">
      <w:r w:rsidRPr="005C3B4E">
        <w:t xml:space="preserve">The economic impact of these technologies in 2026 is </w:t>
      </w:r>
      <w:r w:rsidRPr="005C3B4E">
        <w:rPr>
          <w:rStyle w:val="s1"/>
          <w:rFonts w:eastAsiaTheme="majorEastAsia"/>
        </w:rPr>
        <w:t>real but highly specialized</w:t>
      </w:r>
      <w:r w:rsidRPr="005C3B4E">
        <w:t>. Benefits concentrate in defense, finance, energy, advanced manufacturing, and research-intensive sectors, favoring large enterprises and institutions capable of integrating precision measurement and optimization into existing workflows. This reinforces consolidation and widens capability gaps between technology leaders and laggards, while creating limited high-skill employment and modest commercial revenue rather than broad labor-market effects. Full fault-tolerant quantum computing</w:t>
      </w:r>
      <w:r>
        <w:t xml:space="preserve"> remains several years away, and expectations of near-term transformation remain overstated; most deployments in 2026 are preparatory, enabling infrastructure, standards adoption, and hybrid experimentation rather than rewriting software stacks or economic fundamentals. By the end of 2026, quantum-adjacent technologies are best understood as </w:t>
      </w:r>
      <w:r>
        <w:rPr>
          <w:rStyle w:val="s1"/>
          <w:rFonts w:eastAsiaTheme="majorEastAsia"/>
          <w:b/>
          <w:bCs/>
        </w:rPr>
        <w:t>enabling infrastructure</w:t>
      </w:r>
      <w:r>
        <w:t>—embedded quietly within critical systems to improve reliability, security, and decision quality—laying durable groundwork for future breakthroughs while delivering modest but defensible economic value in the present.</w:t>
      </w:r>
    </w:p>
    <w:p w14:paraId="73EC187C" w14:textId="23857F9B" w:rsidR="00305F92" w:rsidRPr="005C3B4E" w:rsidRDefault="00CE254F" w:rsidP="00AC2D33">
      <w:pPr>
        <w:rPr>
          <w:sz w:val="28"/>
          <w:szCs w:val="28"/>
        </w:rPr>
      </w:pPr>
      <w:r w:rsidRPr="008E71B9">
        <w:rPr>
          <w:b/>
          <w:bCs/>
          <w:sz w:val="24"/>
        </w:rPr>
        <w:t>Financial Infrastructure &amp; Tokenization</w:t>
      </w:r>
      <w:r w:rsidR="008E71B9" w:rsidRPr="008E71B9">
        <w:rPr>
          <w:b/>
          <w:bCs/>
          <w:sz w:val="24"/>
        </w:rPr>
        <w:t>.</w:t>
      </w:r>
      <w:r w:rsidR="0057067D" w:rsidRPr="008E71B9">
        <w:rPr>
          <w:b/>
          <w:bCs/>
          <w:sz w:val="24"/>
        </w:rPr>
        <w:t xml:space="preserve"> </w:t>
      </w:r>
      <w:r w:rsidR="00305F92" w:rsidRPr="005C3B4E">
        <w:t xml:space="preserve">In 2026, financial infrastructure modernization and tokenization move decisively from experimentation into </w:t>
      </w:r>
      <w:r w:rsidR="00305F92" w:rsidRPr="005C3B4E">
        <w:rPr>
          <w:rStyle w:val="s1"/>
          <w:rFonts w:eastAsiaTheme="majorEastAsia"/>
        </w:rPr>
        <w:t>limited but consequential production use</w:t>
      </w:r>
      <w:r w:rsidR="00305F92" w:rsidRPr="005C3B4E">
        <w:t xml:space="preserve">, concentrated overwhelmingly in </w:t>
      </w:r>
      <w:r w:rsidR="00305F92" w:rsidRPr="005C3B4E">
        <w:rPr>
          <w:rStyle w:val="s1"/>
          <w:rFonts w:eastAsiaTheme="majorEastAsia"/>
        </w:rPr>
        <w:t>wholesale and institutional finance rather than consumer payments</w:t>
      </w:r>
      <w:r w:rsidR="00305F92" w:rsidRPr="005C3B4E">
        <w:t xml:space="preserve">. Faster settlement cycles—T+1 as the norm in equities and selective movement toward T+0 in repo, Treasuries, and other liquid instruments—combine with early tokenization of real-world assets such as government securities, money-market funds, repo collateral, and select corporate debt. These changes improve collateral mobility, intraday liquidity management, and capital efficiency by freeing assets previously trapped in settlement processes. Major banks, custodians, and asset managers deploy blockchain-based systems for repo, trade finance, clearing, reconciliation, and cross-border payments, delivering </w:t>
      </w:r>
      <w:r w:rsidR="00305F92" w:rsidRPr="005C3B4E">
        <w:rPr>
          <w:rStyle w:val="s1"/>
          <w:rFonts w:eastAsiaTheme="majorEastAsia"/>
        </w:rPr>
        <w:t>incremental but meaningful efficiency gains (on the order of 5–10% in targeted back-office and settlement functions)</w:t>
      </w:r>
      <w:r w:rsidR="00305F92" w:rsidRPr="005C3B4E">
        <w:t>. The result is a quieter productivity boost within the financial sector, largely invisible to retail users but material for market plumbing, balance-sheet efficiency, and risk management.</w:t>
      </w:r>
    </w:p>
    <w:p w14:paraId="4DFEAC01" w14:textId="77777777" w:rsidR="00305F92" w:rsidRPr="005C3B4E" w:rsidRDefault="00305F92" w:rsidP="00AC2D33">
      <w:r w:rsidRPr="005C3B4E">
        <w:t xml:space="preserve">The disruptive implications of this shift lie less in new products than in </w:t>
      </w:r>
      <w:r w:rsidRPr="005C3B4E">
        <w:rPr>
          <w:rStyle w:val="s1"/>
          <w:rFonts w:eastAsiaTheme="majorEastAsia"/>
        </w:rPr>
        <w:t>speed, liquidity dynamics, and risk transmission</w:t>
      </w:r>
      <w:r w:rsidRPr="005C3B4E">
        <w:t>. Programmable assets, real-time settlement, and increasingly interconnected traditional and digital rails make markets more responsive and transparent in normal conditions, while also increasing fragility under stress. Liquidity can reprice or evaporate more rapidly, leverage can unwind faster, and algorithmic trading, ETF redemptions, stablecoins, and tokenized collateral can propagate shocks across systems within minutes rather than days. As a result, market mechanics and operational resilience become as important to systemic risk as credit quality itself. Smaller financial institutions and legacy intermediaries face margin pressure as automation and disintermediation erode back-office revenues, accelerating consolidation toward large, technology-enabled platforms. Regulatory and compliance burdens rise in the near term as authorities adapt oversight frameworks for tokenized assets, smart contracts, stablecoins, and cross-border digital settlement, increasing complexity even as long-term efficiency improves.</w:t>
      </w:r>
    </w:p>
    <w:p w14:paraId="7293B296" w14:textId="77777777" w:rsidR="00305F92" w:rsidRPr="005C3B4E" w:rsidRDefault="00305F92" w:rsidP="00AC2D33">
      <w:r w:rsidRPr="005C3B4E">
        <w:lastRenderedPageBreak/>
        <w:t xml:space="preserve">Overall, the net economic effect in 2026 is </w:t>
      </w:r>
      <w:r w:rsidRPr="005C3B4E">
        <w:rPr>
          <w:rStyle w:val="s1"/>
          <w:rFonts w:eastAsiaTheme="majorEastAsia"/>
        </w:rPr>
        <w:t>incrementally positive but structurally important</w:t>
      </w:r>
      <w:r w:rsidRPr="005C3B4E">
        <w:t xml:space="preserve">. Financial infrastructure becomes faster, more transparent, and more programmable, improving capital allocation and reducing hidden inefficiencies across markets without triggering a consumer-facing disruption or wholesale transformation. Tokenization is no longer a speculative crypto narrative, yet it remains constrained by legal frameworks, institutional conservatism, and regulatory uncertainty, keeping adoption focused on high-trust instruments and controlled environments. By the end of 2026, financial infrastructure modernization is best understood as a </w:t>
      </w:r>
      <w:r w:rsidRPr="005C3B4E">
        <w:rPr>
          <w:rStyle w:val="s1"/>
          <w:rFonts w:eastAsiaTheme="majorEastAsia"/>
        </w:rPr>
        <w:t>plumbing upgrade</w:t>
      </w:r>
      <w:r w:rsidRPr="005C3B4E">
        <w:t>—quietly reshaping how liquidity moves, how risk is transmitted, and how resilient the system is under stress—setting the stage for larger shifts later in the decade while already altering the behavior of capital markets in subtle but meaningful ways.</w:t>
      </w:r>
    </w:p>
    <w:p w14:paraId="75BCC68F" w14:textId="0569021A" w:rsidR="00305F92" w:rsidRPr="0057067D" w:rsidRDefault="00CE254F" w:rsidP="00AC2D33">
      <w:pPr>
        <w:rPr>
          <w:b/>
          <w:bCs/>
          <w:sz w:val="28"/>
          <w:szCs w:val="28"/>
        </w:rPr>
      </w:pPr>
      <w:r w:rsidRPr="008E71B9">
        <w:rPr>
          <w:b/>
          <w:bCs/>
          <w:sz w:val="24"/>
        </w:rPr>
        <w:t>Climate Engineering &amp; Adaptation Tech</w:t>
      </w:r>
      <w:r w:rsidR="008E71B9" w:rsidRPr="008E71B9">
        <w:rPr>
          <w:b/>
          <w:bCs/>
          <w:sz w:val="24"/>
        </w:rPr>
        <w:t>.</w:t>
      </w:r>
      <w:r w:rsidR="0057067D" w:rsidRPr="008E71B9">
        <w:rPr>
          <w:b/>
          <w:bCs/>
          <w:sz w:val="24"/>
        </w:rPr>
        <w:t xml:space="preserve"> </w:t>
      </w:r>
      <w:r w:rsidR="00305F92" w:rsidRPr="005C3B4E">
        <w:t xml:space="preserve">In 2026, climate engineering and adaptation technologies transition decisively from long-range planning concepts into </w:t>
      </w:r>
      <w:r w:rsidR="00305F92" w:rsidRPr="005C3B4E">
        <w:rPr>
          <w:rStyle w:val="s1"/>
          <w:rFonts w:eastAsiaTheme="majorEastAsia"/>
        </w:rPr>
        <w:t>near-term economic necessities</w:t>
      </w:r>
      <w:r w:rsidR="00305F92" w:rsidRPr="005C3B4E">
        <w:t xml:space="preserve">, driven by the rising frequency, severity, and cost of extreme weather events alongside insurance market retreat and infrastructure stress. Investment accelerates across flood and stormwater management, wildfire detection and suppression, grid hardening, heat-resilient building materials, urban cooling systems, water recycling and precision irrigation, drought-resistant agriculture, and coastal protection. These technologies do not eliminate climate risk, nor do they meaningfully slow climate change on their own, but they </w:t>
      </w:r>
      <w:r w:rsidR="00305F92" w:rsidRPr="005C3B4E">
        <w:rPr>
          <w:rStyle w:val="s1"/>
          <w:rFonts w:eastAsiaTheme="majorEastAsia"/>
        </w:rPr>
        <w:t>reduce uncertainty, downtime, and tail losses</w:t>
      </w:r>
      <w:r w:rsidR="00305F92" w:rsidRPr="005C3B4E">
        <w:t>, allowing utilities, municipalities, insurers, and businesses to operate with greater predictability. At the national level, the economic impact is defensive but growth-preserving: productivity is supported by limiting disaster-related disruptions, protecting critical infrastructure such as power grids, transportation corridors, data centers, and agricultural systems, and stabilizing insurance and credit conditions in regions able to adapt.</w:t>
      </w:r>
    </w:p>
    <w:p w14:paraId="7331BA52" w14:textId="77777777" w:rsidR="00305F92" w:rsidRDefault="00305F92" w:rsidP="00AC2D33">
      <w:r>
        <w:t>The disruptive effects are uneven and politically sensitive. Adaptation spending reprices geography, accelerating divergence between regions that can finance resilience investments and those that cannot. Insurance availability and cost become primary economic signals, influencing real estate values, municipal credit quality, migration patterns, and long-term capital allocation. Capital expenditures rise sharply for cities, utilities, and private operators—often financed through municipal bonds, federal grants, and public-private partnerships—creating localized construction and engineering booms while placing short-term pressure on public budgets and ratepayers. This shift reallocates capital away from purely aspirational mitigation strategies toward pragmatic resilience, generating policy tension as adaptation increasingly crowds out emissions-reduction spending. Direct geoengineering approaches such as solar radiation management remain confined to research due to governance and risk concerns, while carbon capture and direct air capture expand only modestly under heavy subsidy and remain economically marginal in 2026.</w:t>
      </w:r>
    </w:p>
    <w:p w14:paraId="75FFBBCF" w14:textId="77777777" w:rsidR="00305F92" w:rsidRPr="005C3B4E" w:rsidRDefault="00305F92" w:rsidP="00AC2D33">
      <w:r w:rsidRPr="005C3B4E">
        <w:t xml:space="preserve">Overall, the net economic effect of climate adaptation technologies in 2026 is </w:t>
      </w:r>
      <w:r w:rsidRPr="005C3B4E">
        <w:rPr>
          <w:rStyle w:val="s1"/>
          <w:rFonts w:eastAsiaTheme="majorEastAsia"/>
        </w:rPr>
        <w:t>structurally stabilizing rather than expansionary</w:t>
      </w:r>
      <w:r w:rsidRPr="005C3B4E">
        <w:t xml:space="preserve">. These investments do not create a single explosive growth </w:t>
      </w:r>
      <w:proofErr w:type="gramStart"/>
      <w:r w:rsidRPr="005C3B4E">
        <w:t>industry, but</w:t>
      </w:r>
      <w:proofErr w:type="gramEnd"/>
      <w:r w:rsidRPr="005C3B4E">
        <w:t xml:space="preserve"> collectively represent a large and growing market—hundreds of billions of dollars annually—that preserves asset values, protects investment returns, and prevents compounding losses. By the end of 2026, climate adaptation is no longer treated as optional sustainability spending; it is recognized as </w:t>
      </w:r>
      <w:r w:rsidRPr="005C3B4E">
        <w:rPr>
          <w:rStyle w:val="s1"/>
          <w:rFonts w:eastAsiaTheme="majorEastAsia"/>
        </w:rPr>
        <w:t>core economic infrastructure</w:t>
      </w:r>
      <w:r w:rsidRPr="005C3B4E">
        <w:t xml:space="preserve">, reshaping insurance underwriting, real estate economics, municipal finance, and public–private investment priorities. The result is a more resilient but more </w:t>
      </w:r>
      <w:r w:rsidRPr="005C3B4E">
        <w:lastRenderedPageBreak/>
        <w:t>uneven economic landscape, in which climate volatility continues to rise even as the ability to absorb and manage its impacts becomes a defining determinant of regional and national competitiveness.</w:t>
      </w:r>
    </w:p>
    <w:p w14:paraId="59FF023C" w14:textId="2AAE39AB" w:rsidR="0057067D" w:rsidRPr="005C3B4E" w:rsidRDefault="00CE254F" w:rsidP="00AC2D33">
      <w:r w:rsidRPr="008E71B9">
        <w:rPr>
          <w:b/>
          <w:bCs/>
          <w:sz w:val="24"/>
        </w:rPr>
        <w:t>Defense &amp; Dual-Use Technologies</w:t>
      </w:r>
      <w:r w:rsidR="008E71B9" w:rsidRPr="008E71B9">
        <w:rPr>
          <w:b/>
          <w:bCs/>
          <w:sz w:val="24"/>
        </w:rPr>
        <w:t>.</w:t>
      </w:r>
      <w:r w:rsidR="0057067D" w:rsidRPr="008E71B9">
        <w:rPr>
          <w:sz w:val="24"/>
        </w:rPr>
        <w:t xml:space="preserve"> </w:t>
      </w:r>
      <w:r w:rsidR="0057067D">
        <w:t xml:space="preserve">The disruptive effects of this shift are significant but uneven. Defense and dual-use technologies raise capital intensity, regulatory complexity, and compliance costs, favoring large, well-capitalized firms and accelerating consolidation across prime contractors, suppliers, and emerging defense-tech companies. Export controls, security reviews, and allied-bloc trade frameworks reshape global technology flows, trading some economic efficiency for resilience and strategic autonomy. Labor impacts are concentrated rather than broad-based: employment grows modestly overall—tens of thousands of net new high-skill jobs—while demand intensifies for specialized engineers, software developers, and advanced manufacturing talent, contributing to wage polarization and regional divergence in states with strong defense ecosystems. At the same time, rapid diffusion of dual-use capabilities—drones, sensing platforms, cyber tools, and AI—raises escalation, cyber, and insurance risks for both public and private actors, increasing </w:t>
      </w:r>
      <w:r w:rsidR="0057067D" w:rsidRPr="005C3B4E">
        <w:t>the importance of risk management alongside innovation.</w:t>
      </w:r>
    </w:p>
    <w:p w14:paraId="4EF1138D" w14:textId="77777777" w:rsidR="0057067D" w:rsidRPr="005C3B4E" w:rsidRDefault="0057067D" w:rsidP="00AC2D33">
      <w:r w:rsidRPr="005C3B4E">
        <w:t xml:space="preserve">In 2026, defense and dual-use technologies emerge as a </w:t>
      </w:r>
      <w:r w:rsidRPr="005C3B4E">
        <w:rPr>
          <w:rStyle w:val="s1"/>
          <w:rFonts w:eastAsiaTheme="majorEastAsia"/>
        </w:rPr>
        <w:t>core structural driver of economic activity</w:t>
      </w:r>
      <w:r w:rsidRPr="005C3B4E">
        <w:t xml:space="preserve">, reflecting the sustained convergence of civilian innovation, industrial policy, and national security priorities amid elevated geopolitical tension. Defense spending remains robust and predictable, making it one of the most reliable engines of capital expenditure and R&amp;D. Investment accelerates across autonomous systems, AI-enabled intelligence and analytics, advanced sensors, cyber offense and defense, secure communications, space-based assets, </w:t>
      </w:r>
      <w:proofErr w:type="spellStart"/>
      <w:r w:rsidRPr="005C3B4E">
        <w:t>hypersonics</w:t>
      </w:r>
      <w:proofErr w:type="spellEnd"/>
      <w:r w:rsidRPr="005C3B4E">
        <w:t>, missile defense, and advanced manufacturing for platforms and munitions. These programs support long-duration contracts, stable manufacturing demand, and high-skill employment, while reinforcing supply-chain resilience through onshoring, diversification, and reduced dependence on geopolitical rivals. Spillover effects into civilian sectors—particularly AI, robotics, semiconductors, cybersecurity, logistics, aerospace, and materials—are substantial, embedding defense-driven innovation across the broader economy.</w:t>
      </w:r>
    </w:p>
    <w:p w14:paraId="45F93721" w14:textId="77777777" w:rsidR="0057067D" w:rsidRPr="005C3B4E" w:rsidRDefault="0057067D" w:rsidP="00AC2D33">
      <w:r w:rsidRPr="005C3B4E">
        <w:t xml:space="preserve">Overall, the net economic effect of defense and dual-use technologies in 2026 is </w:t>
      </w:r>
      <w:r w:rsidRPr="005C3B4E">
        <w:rPr>
          <w:rStyle w:val="s1"/>
          <w:rFonts w:eastAsiaTheme="majorEastAsia"/>
        </w:rPr>
        <w:t>stabilizing yet structurally transformative</w:t>
      </w:r>
      <w:r w:rsidRPr="005C3B4E">
        <w:t xml:space="preserve">. Defense investment acts as a counter-cyclical anchor during periods of global uncertainty, sustaining industrial capacity and innovation even when civilian demand softens. However, it also entrenches a more fragmented global technology landscape, where security, redundancy, and speed increasingly outweigh cost minimization. By the end of 2026, defense and dual-use innovation is no longer a peripheral government activity; it is a </w:t>
      </w:r>
      <w:r w:rsidRPr="005C3B4E">
        <w:rPr>
          <w:rStyle w:val="s1"/>
          <w:rFonts w:eastAsiaTheme="majorEastAsia"/>
        </w:rPr>
        <w:t>central pillar of national economic strategy</w:t>
      </w:r>
      <w:r w:rsidRPr="005C3B4E">
        <w:t>, shaping capital allocation, industrial competitiveness, technological diffusion, and long-term productivity growth—while simultaneously elevating geopolitical and systemic risks that must be actively managed.</w:t>
      </w:r>
    </w:p>
    <w:bookmarkEnd w:id="2"/>
    <w:p w14:paraId="1EA4E9E0" w14:textId="77777777" w:rsidR="0057067D" w:rsidRDefault="0057067D" w:rsidP="00AC2D33">
      <w:pPr>
        <w:rPr>
          <w:b/>
          <w:bCs/>
          <w:u w:val="single"/>
        </w:rPr>
      </w:pPr>
    </w:p>
    <w:p w14:paraId="2EB5B6DE" w14:textId="2705A558" w:rsidR="00C23D3F" w:rsidRDefault="00C23D3F" w:rsidP="00AC2D33">
      <w:pPr>
        <w:rPr>
          <w:b/>
          <w:bCs/>
          <w:u w:val="single"/>
        </w:rPr>
      </w:pPr>
      <w:r>
        <w:rPr>
          <w:b/>
          <w:bCs/>
          <w:u w:val="single"/>
        </w:rPr>
        <w:br w:type="page"/>
      </w:r>
    </w:p>
    <w:p w14:paraId="52A85A42" w14:textId="0D747B69" w:rsidR="00D61E81" w:rsidRPr="00D61E81" w:rsidRDefault="00D61E81" w:rsidP="009B48AB">
      <w:pPr>
        <w:pStyle w:val="Heading2"/>
        <w:jc w:val="center"/>
      </w:pPr>
      <w:r w:rsidRPr="00D61E81">
        <w:lastRenderedPageBreak/>
        <w:t>SECTOR OUTLOOKS</w:t>
      </w:r>
      <w:r w:rsidR="0057067D">
        <w:t xml:space="preserve"> for 2026</w:t>
      </w:r>
    </w:p>
    <w:p w14:paraId="594CD655" w14:textId="60105106" w:rsidR="00704B43" w:rsidRDefault="007A6007" w:rsidP="009B48AB">
      <w:pPr>
        <w:pStyle w:val="Heading3"/>
      </w:pPr>
      <w:r>
        <w:t xml:space="preserve">Healthcare </w:t>
      </w:r>
      <w:r w:rsidR="009F312F">
        <w:t xml:space="preserve">Sector </w:t>
      </w:r>
      <w:r>
        <w:t>Outlook:</w:t>
      </w:r>
    </w:p>
    <w:p w14:paraId="701BE10C" w14:textId="77777777" w:rsidR="00FF0D27" w:rsidRPr="005C3B4E" w:rsidRDefault="00FF0D27" w:rsidP="00AC2D33">
      <w:r w:rsidRPr="005C3B4E">
        <w:t xml:space="preserve">Entering 2026, the U.S. healthcare sector is </w:t>
      </w:r>
      <w:r w:rsidRPr="005C3B4E">
        <w:rPr>
          <w:rStyle w:val="s1"/>
          <w:rFonts w:eastAsiaTheme="majorEastAsia"/>
        </w:rPr>
        <w:t>more operationally capable but structurally constrained</w:t>
      </w:r>
      <w:r w:rsidRPr="005C3B4E">
        <w:t>, reflecting the collision between accelerating technological adoption and intensifying financial, workforce, and policy pressures. Inflation moderation and partial interest-rate relief stabilize balance sheets relative to early 2025, yet elevated federal debt and higher term premia keep the structural cost of capital elevated, limiting fiscal flexibility across Medicare, Medicaid, and state budgets. Hospital and provider performance diverges sharply: large, well-capitalized systems and academic centers regain margin stability through labor normalization, tighter expense controls, and AI-enabled efficiency, while rural, safety-net, long-term care, and behavioral health providers remain fragile under reimbursement pressure and persistent workforce shortages. Labor constraints—especially among nurses and specialized clinicians—remain acute despite continued hiring, keeping healthcare unemployment below 3% and reinforcing the necessity of automation rather than enabling labor substitution.</w:t>
      </w:r>
    </w:p>
    <w:p w14:paraId="56C40523" w14:textId="77777777" w:rsidR="00FF0D27" w:rsidRPr="005C3B4E" w:rsidRDefault="00FF0D27" w:rsidP="00AC2D33">
      <w:r w:rsidRPr="005C3B4E">
        <w:t xml:space="preserve">By mid-2026, </w:t>
      </w:r>
      <w:r w:rsidRPr="005C3B4E">
        <w:rPr>
          <w:rStyle w:val="s1"/>
          <w:rFonts w:eastAsiaTheme="majorEastAsia"/>
        </w:rPr>
        <w:t>AI deployment becomes visibly impactful</w:t>
      </w:r>
      <w:r w:rsidRPr="005C3B4E">
        <w:t xml:space="preserve">, primarily through administrative automation and clinical augmentation rather than care replacement. Clinical documentation, revenue-cycle management, imaging analysis, triage support, prior authorization automation, and care navigation deliver </w:t>
      </w:r>
      <w:r w:rsidRPr="005C3B4E">
        <w:rPr>
          <w:rStyle w:val="s1"/>
          <w:rFonts w:eastAsiaTheme="majorEastAsia"/>
        </w:rPr>
        <w:t>5–10% efficiency gains in early-adopting systems</w:t>
      </w:r>
      <w:r w:rsidRPr="005C3B4E">
        <w:t xml:space="preserve">, improving throughput and reducing burnout without eliminating labor demand. These productivity gains are essential rather than optional, as healthcare cost growth accelerates—driven by specialty pharmaceuticals (notably GLP-1 obesity and metabolic therapies), rising employer-sponsored insurance costs, deferred care volumes, climate-related health events, and wage inflation in scarce clinical roles. As a result, healthcare becomes more technologically advanced but less forgiving: organizations that fail to modernize face margin erosion and operational instability, while leaders increasingly differentiate on </w:t>
      </w:r>
      <w:r w:rsidRPr="005C3B4E">
        <w:rPr>
          <w:rStyle w:val="s1"/>
          <w:rFonts w:eastAsiaTheme="majorEastAsia"/>
        </w:rPr>
        <w:t>cost per unit of care, outcomes, and scalability</w:t>
      </w:r>
      <w:r w:rsidRPr="005C3B4E">
        <w:t>.</w:t>
      </w:r>
    </w:p>
    <w:p w14:paraId="2A4608F5" w14:textId="77777777" w:rsidR="00FF0D27" w:rsidRPr="005C3B4E" w:rsidRDefault="00FF0D27" w:rsidP="00AC2D33">
      <w:r w:rsidRPr="005C3B4E">
        <w:t xml:space="preserve">Pharmaceutical and life-science performance remains </w:t>
      </w:r>
      <w:r w:rsidRPr="005C3B4E">
        <w:rPr>
          <w:rStyle w:val="s1"/>
          <w:rFonts w:eastAsiaTheme="majorEastAsia"/>
        </w:rPr>
        <w:t>selectively resilient</w:t>
      </w:r>
      <w:r w:rsidRPr="005C3B4E">
        <w:t>. GLP-1 therapies continue to drive outsized revenue growth, though payer resistance intensifies through formulary controls, utilization management, and outcomes-based contracting as budgets strain. Innovation-driven pharma with strong pipelines and pricing power outperforms, while speculative biotech remains challenged; capital flows favor late-stage, revenue-adjacent assets in oncology, metabolic disease, diagnostics, and platform technologies. mRNA platforms expand beyond COVID into flu and RSV, reducing hospitalization risk among aging populations, while cell and gene therapies advance clinically but remain fiscally contentious given per-patient costs that pressure insurers and public payers. Synthetic biology and precision biomanufacturing quietly improve drug development efficiency and supply-chain resilience, though macro impact remains limited in 2026.</w:t>
      </w:r>
    </w:p>
    <w:p w14:paraId="1970CDC5" w14:textId="77777777" w:rsidR="00FF0D27" w:rsidRPr="005C3B4E" w:rsidRDefault="00FF0D27" w:rsidP="00AC2D33">
      <w:r w:rsidRPr="005C3B4E">
        <w:t xml:space="preserve">Health insurers face a </w:t>
      </w:r>
      <w:r w:rsidRPr="005C3B4E">
        <w:rPr>
          <w:rStyle w:val="s1"/>
          <w:rFonts w:eastAsiaTheme="majorEastAsia"/>
        </w:rPr>
        <w:t>materially tougher environment than earlier cycles</w:t>
      </w:r>
      <w:r w:rsidRPr="005C3B4E">
        <w:t xml:space="preserve">. Rising drug costs, climate-driven regional claims volatility, bipartisan scrutiny of prior authorization and AI-assisted decision tools, and regulatory pressure compress margins and raise compliance costs, even as scale remains advantageous. Diagnostic services, procedure-linked medical devices, lab services, and AI-enabled healthcare software emerge as relative bright spots, benefiting from deferred-care normalization, demographic demand, and automation tailwinds. Cybersecurity and operational </w:t>
      </w:r>
      <w:r w:rsidRPr="005C3B4E">
        <w:lastRenderedPageBreak/>
        <w:t>resilience rise to first-order risks as healthcare’s expanding digital footprint increases exposure to disruptive attacks and system outages.</w:t>
      </w:r>
    </w:p>
    <w:p w14:paraId="79B7387B" w14:textId="3B07F0B6" w:rsidR="00FF0D27" w:rsidRPr="005C3B4E" w:rsidRDefault="00FF0D27" w:rsidP="00AC2D33">
      <w:r w:rsidRPr="005C3B4E">
        <w:t xml:space="preserve">Overall, healthcare in 2026 remains a </w:t>
      </w:r>
      <w:r w:rsidRPr="005C3B4E">
        <w:rPr>
          <w:rStyle w:val="s1"/>
          <w:rFonts w:eastAsiaTheme="majorEastAsia"/>
        </w:rPr>
        <w:t>resilient but high-tension sector</w:t>
      </w:r>
      <w:r w:rsidRPr="005C3B4E">
        <w:t>: demand is structurally strong, employment continues to grow, and technology adoption delivers real productivity gains, yet fiscal constraints, workforce scarcity, geographic access disparities, climate exposure, and cyber risk prevent broad margin expansion. The sector’s trajectory is neutral-to-positive, contingent on effective risk management and avoidance of major shocks. Winners are scale players, innovators with demonstrable economic value, and operators that reduce cost per outcome; structurally fragile providers and legacy operators face continued pressure. Healthcare’s role as a stabilizing pillar of the economy persists, but its growing cost burden increasingly constrains household consumption and elevates its political salience heading into and beyond the 2026 midterms.</w:t>
      </w:r>
    </w:p>
    <w:p w14:paraId="45001633" w14:textId="741713D3" w:rsidR="00FF0D27" w:rsidRPr="00B67BF9" w:rsidRDefault="00704B43" w:rsidP="00DC431E">
      <w:pPr>
        <w:pStyle w:val="p3"/>
        <w:rPr>
          <w:rStyle w:val="s1"/>
        </w:rPr>
      </w:pPr>
      <w:r>
        <w:rPr>
          <w:b/>
          <w:bCs/>
        </w:rPr>
        <w:t xml:space="preserve">Top </w:t>
      </w:r>
      <w:r w:rsidR="0008123E">
        <w:rPr>
          <w:b/>
          <w:bCs/>
        </w:rPr>
        <w:t xml:space="preserve">Healthcare </w:t>
      </w:r>
      <w:r>
        <w:rPr>
          <w:b/>
          <w:bCs/>
        </w:rPr>
        <w:t>companies for 2026:</w:t>
      </w:r>
    </w:p>
    <w:tbl>
      <w:tblPr>
        <w:tblStyle w:val="ListTable4-Accent4"/>
        <w:tblW w:w="0" w:type="auto"/>
        <w:tblLook w:val="04A0" w:firstRow="1" w:lastRow="0" w:firstColumn="1" w:lastColumn="0" w:noHBand="0" w:noVBand="1"/>
      </w:tblPr>
      <w:tblGrid>
        <w:gridCol w:w="652"/>
        <w:gridCol w:w="873"/>
        <w:gridCol w:w="1887"/>
        <w:gridCol w:w="1169"/>
        <w:gridCol w:w="1354"/>
        <w:gridCol w:w="1350"/>
        <w:gridCol w:w="1260"/>
        <w:gridCol w:w="1165"/>
      </w:tblGrid>
      <w:tr w:rsidR="008C2DC3" w:rsidRPr="00B35BE4" w14:paraId="4F7E4565" w14:textId="77777777" w:rsidTr="00AC2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9E8D61" w14:textId="77777777" w:rsidR="008C2DC3" w:rsidRPr="00B35BE4" w:rsidRDefault="008C2DC3">
            <w:pPr>
              <w:pStyle w:val="p1"/>
              <w:jc w:val="center"/>
              <w:rPr>
                <w:rFonts w:asciiTheme="minorHAnsi" w:hAnsiTheme="minorHAnsi"/>
                <w:sz w:val="20"/>
                <w:szCs w:val="20"/>
              </w:rPr>
            </w:pPr>
            <w:r w:rsidRPr="00B35BE4">
              <w:rPr>
                <w:rFonts w:asciiTheme="minorHAnsi" w:hAnsiTheme="minorHAnsi"/>
                <w:b w:val="0"/>
                <w:bCs w:val="0"/>
                <w:sz w:val="20"/>
                <w:szCs w:val="20"/>
              </w:rPr>
              <w:t>Rank</w:t>
            </w:r>
          </w:p>
        </w:tc>
        <w:tc>
          <w:tcPr>
            <w:tcW w:w="0" w:type="auto"/>
            <w:hideMark/>
          </w:tcPr>
          <w:p w14:paraId="4FA2896B" w14:textId="77777777"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Ticker</w:t>
            </w:r>
          </w:p>
        </w:tc>
        <w:tc>
          <w:tcPr>
            <w:tcW w:w="0" w:type="auto"/>
            <w:hideMark/>
          </w:tcPr>
          <w:p w14:paraId="297EBD24" w14:textId="77777777"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Company</w:t>
            </w:r>
          </w:p>
        </w:tc>
        <w:tc>
          <w:tcPr>
            <w:tcW w:w="0" w:type="auto"/>
            <w:hideMark/>
          </w:tcPr>
          <w:p w14:paraId="7E2ADDCC" w14:textId="77777777"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Top 5 (Return)</w:t>
            </w:r>
          </w:p>
        </w:tc>
        <w:tc>
          <w:tcPr>
            <w:tcW w:w="1354" w:type="dxa"/>
            <w:hideMark/>
          </w:tcPr>
          <w:p w14:paraId="4D8BE580" w14:textId="77777777"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Fit to 2026 landscape</w:t>
            </w:r>
            <w:r w:rsidRPr="00200B25">
              <w:rPr>
                <w:rFonts w:asciiTheme="minorHAnsi" w:hAnsiTheme="minorHAnsi"/>
                <w:b w:val="0"/>
                <w:bCs w:val="0"/>
                <w:sz w:val="20"/>
                <w:szCs w:val="20"/>
                <w:vertAlign w:val="superscript"/>
              </w:rPr>
              <w:t>1</w:t>
            </w:r>
          </w:p>
        </w:tc>
        <w:tc>
          <w:tcPr>
            <w:tcW w:w="1350" w:type="dxa"/>
            <w:hideMark/>
          </w:tcPr>
          <w:p w14:paraId="0AF04C39" w14:textId="77777777"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Analyst 1-yr target</w:t>
            </w:r>
          </w:p>
        </w:tc>
        <w:tc>
          <w:tcPr>
            <w:tcW w:w="1260" w:type="dxa"/>
            <w:hideMark/>
          </w:tcPr>
          <w:p w14:paraId="3FA8EFB0" w14:textId="02522650" w:rsidR="008C2DC3" w:rsidRPr="00B35BE4" w:rsidRDefault="008C2DC3" w:rsidP="00B35BE4">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b w:val="0"/>
                <w:bCs w:val="0"/>
                <w:sz w:val="20"/>
                <w:szCs w:val="20"/>
              </w:rPr>
              <w:t>Thesis</w:t>
            </w:r>
            <w:r w:rsidRPr="00B35BE4">
              <w:rPr>
                <w:rFonts w:asciiTheme="minorHAnsi" w:hAnsiTheme="minorHAnsi"/>
                <w:sz w:val="20"/>
                <w:szCs w:val="20"/>
              </w:rPr>
              <w:br/>
            </w:r>
            <w:r w:rsidRPr="00B35BE4">
              <w:rPr>
                <w:rFonts w:asciiTheme="minorHAnsi" w:hAnsiTheme="minorHAnsi"/>
                <w:b w:val="0"/>
                <w:bCs w:val="0"/>
                <w:sz w:val="20"/>
                <w:szCs w:val="20"/>
              </w:rPr>
              <w:t>1-yr target</w:t>
            </w:r>
            <w:r w:rsidR="003B6B7A" w:rsidRPr="003B6B7A">
              <w:rPr>
                <w:rFonts w:asciiTheme="minorHAnsi" w:hAnsiTheme="minorHAnsi"/>
                <w:b w:val="0"/>
                <w:bCs w:val="0"/>
                <w:sz w:val="20"/>
                <w:szCs w:val="20"/>
                <w:vertAlign w:val="superscript"/>
              </w:rPr>
              <w:t>1</w:t>
            </w:r>
          </w:p>
        </w:tc>
        <w:tc>
          <w:tcPr>
            <w:tcW w:w="1165" w:type="dxa"/>
            <w:hideMark/>
          </w:tcPr>
          <w:p w14:paraId="4F0009A1" w14:textId="24947B9E" w:rsidR="008C2DC3" w:rsidRPr="00B35BE4" w:rsidRDefault="008C2DC3">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sidR="003B6B7A" w:rsidRPr="003B6B7A">
              <w:rPr>
                <w:rFonts w:asciiTheme="minorHAnsi" w:hAnsiTheme="minorHAnsi"/>
                <w:b w:val="0"/>
                <w:bCs w:val="0"/>
                <w:sz w:val="20"/>
                <w:szCs w:val="20"/>
                <w:vertAlign w:val="superscript"/>
              </w:rPr>
              <w:t>1</w:t>
            </w:r>
          </w:p>
        </w:tc>
      </w:tr>
      <w:tr w:rsidR="008C2DC3" w:rsidRPr="006B7746" w14:paraId="3884D333" w14:textId="77777777" w:rsidTr="008E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3920B6" w14:textId="77777777" w:rsidR="008C2DC3" w:rsidRDefault="008C2DC3">
            <w:pPr>
              <w:pStyle w:val="p1"/>
              <w:rPr>
                <w:rFonts w:asciiTheme="minorHAnsi" w:hAnsiTheme="minorHAnsi"/>
                <w:sz w:val="21"/>
                <w:szCs w:val="21"/>
              </w:rPr>
            </w:pPr>
            <w:r>
              <w:rPr>
                <w:rFonts w:asciiTheme="minorHAnsi" w:hAnsiTheme="minorHAnsi"/>
                <w:sz w:val="21"/>
                <w:szCs w:val="21"/>
              </w:rPr>
              <w:t>1</w:t>
            </w:r>
          </w:p>
        </w:tc>
        <w:tc>
          <w:tcPr>
            <w:tcW w:w="0" w:type="auto"/>
            <w:shd w:val="clear" w:color="auto" w:fill="B3E5A1" w:themeFill="accent6" w:themeFillTint="66"/>
          </w:tcPr>
          <w:p w14:paraId="3CA8CAF9" w14:textId="77777777" w:rsidR="008C2DC3" w:rsidRPr="008E71B9"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UNH</w:t>
            </w:r>
          </w:p>
        </w:tc>
        <w:tc>
          <w:tcPr>
            <w:tcW w:w="0" w:type="auto"/>
          </w:tcPr>
          <w:p w14:paraId="327F78AA" w14:textId="77777777" w:rsidR="008C2DC3" w:rsidRPr="006B7746"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United Healthcare</w:t>
            </w:r>
          </w:p>
        </w:tc>
        <w:tc>
          <w:tcPr>
            <w:tcW w:w="0" w:type="auto"/>
          </w:tcPr>
          <w:p w14:paraId="5F44F32A" w14:textId="77777777" w:rsidR="008C2DC3" w:rsidRPr="006B7746" w:rsidRDefault="008C2DC3" w:rsidP="00D13F0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1354" w:type="dxa"/>
          </w:tcPr>
          <w:p w14:paraId="73317130"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0.92</w:t>
            </w:r>
          </w:p>
        </w:tc>
        <w:tc>
          <w:tcPr>
            <w:tcW w:w="1350" w:type="dxa"/>
          </w:tcPr>
          <w:p w14:paraId="4AD043F6"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$260-$440</w:t>
            </w:r>
          </w:p>
        </w:tc>
        <w:tc>
          <w:tcPr>
            <w:tcW w:w="1260" w:type="dxa"/>
          </w:tcPr>
          <w:p w14:paraId="32CC0212"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$410</w:t>
            </w:r>
          </w:p>
        </w:tc>
        <w:tc>
          <w:tcPr>
            <w:tcW w:w="1165" w:type="dxa"/>
          </w:tcPr>
          <w:p w14:paraId="57782DE0" w14:textId="77777777" w:rsidR="008C2DC3" w:rsidRDefault="008C2DC3" w:rsidP="00E823F5">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21.9%</w:t>
            </w:r>
          </w:p>
        </w:tc>
      </w:tr>
      <w:tr w:rsidR="008C2DC3" w:rsidRPr="006B7746" w14:paraId="75C78A9C" w14:textId="77777777" w:rsidTr="008E71B9">
        <w:tc>
          <w:tcPr>
            <w:cnfStyle w:val="001000000000" w:firstRow="0" w:lastRow="0" w:firstColumn="1" w:lastColumn="0" w:oddVBand="0" w:evenVBand="0" w:oddHBand="0" w:evenHBand="0" w:firstRowFirstColumn="0" w:firstRowLastColumn="0" w:lastRowFirstColumn="0" w:lastRowLastColumn="0"/>
            <w:tcW w:w="0" w:type="auto"/>
            <w:hideMark/>
          </w:tcPr>
          <w:p w14:paraId="5AA729C9" w14:textId="650D0FA6" w:rsidR="008C2DC3" w:rsidRPr="006B7746" w:rsidRDefault="008C2DC3">
            <w:pPr>
              <w:pStyle w:val="p1"/>
              <w:rPr>
                <w:rFonts w:asciiTheme="minorHAnsi" w:hAnsiTheme="minorHAnsi"/>
                <w:sz w:val="21"/>
                <w:szCs w:val="21"/>
              </w:rPr>
            </w:pPr>
            <w:r>
              <w:rPr>
                <w:rFonts w:asciiTheme="minorHAnsi" w:hAnsiTheme="minorHAnsi"/>
                <w:sz w:val="21"/>
                <w:szCs w:val="21"/>
              </w:rPr>
              <w:t>2</w:t>
            </w:r>
          </w:p>
        </w:tc>
        <w:tc>
          <w:tcPr>
            <w:tcW w:w="0" w:type="auto"/>
            <w:shd w:val="clear" w:color="auto" w:fill="B3E5A1" w:themeFill="accent6" w:themeFillTint="66"/>
            <w:hideMark/>
          </w:tcPr>
          <w:p w14:paraId="59FAF130" w14:textId="77777777" w:rsidR="008C2DC3" w:rsidRPr="008E71B9"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NVO</w:t>
            </w:r>
          </w:p>
        </w:tc>
        <w:tc>
          <w:tcPr>
            <w:tcW w:w="0" w:type="auto"/>
            <w:hideMark/>
          </w:tcPr>
          <w:p w14:paraId="0B03B13B" w14:textId="77777777" w:rsidR="008C2DC3" w:rsidRPr="006B7746"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Novo Nordisk</w:t>
            </w:r>
          </w:p>
        </w:tc>
        <w:tc>
          <w:tcPr>
            <w:tcW w:w="0" w:type="auto"/>
            <w:hideMark/>
          </w:tcPr>
          <w:p w14:paraId="27B2E267" w14:textId="77777777" w:rsidR="008C2DC3" w:rsidRPr="006B7746" w:rsidRDefault="008C2DC3" w:rsidP="00D13F0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1354" w:type="dxa"/>
            <w:hideMark/>
          </w:tcPr>
          <w:p w14:paraId="14A44537"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0.89</w:t>
            </w:r>
          </w:p>
        </w:tc>
        <w:tc>
          <w:tcPr>
            <w:tcW w:w="1350" w:type="dxa"/>
            <w:hideMark/>
          </w:tcPr>
          <w:p w14:paraId="7D000081"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42-$70</w:t>
            </w:r>
          </w:p>
        </w:tc>
        <w:tc>
          <w:tcPr>
            <w:tcW w:w="1260" w:type="dxa"/>
            <w:hideMark/>
          </w:tcPr>
          <w:p w14:paraId="0420578B"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$69</w:t>
            </w:r>
          </w:p>
        </w:tc>
        <w:tc>
          <w:tcPr>
            <w:tcW w:w="1165" w:type="dxa"/>
            <w:hideMark/>
          </w:tcPr>
          <w:p w14:paraId="67CB1A94" w14:textId="77777777" w:rsidR="008C2DC3" w:rsidRPr="006B7746" w:rsidRDefault="008C2DC3" w:rsidP="00E823F5">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30.8%</w:t>
            </w:r>
          </w:p>
        </w:tc>
      </w:tr>
      <w:tr w:rsidR="008C2DC3" w:rsidRPr="006B7746" w14:paraId="7B39F67A" w14:textId="77777777" w:rsidTr="008E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1D83A1" w14:textId="3E29B0F1" w:rsidR="008C2DC3" w:rsidRPr="006B7746" w:rsidRDefault="008C2DC3">
            <w:pPr>
              <w:pStyle w:val="p1"/>
              <w:rPr>
                <w:rFonts w:asciiTheme="minorHAnsi" w:hAnsiTheme="minorHAnsi"/>
                <w:b w:val="0"/>
                <w:bCs w:val="0"/>
                <w:sz w:val="21"/>
                <w:szCs w:val="21"/>
              </w:rPr>
            </w:pPr>
            <w:r>
              <w:rPr>
                <w:rFonts w:asciiTheme="minorHAnsi" w:hAnsiTheme="minorHAnsi"/>
                <w:sz w:val="21"/>
                <w:szCs w:val="21"/>
              </w:rPr>
              <w:t>3</w:t>
            </w:r>
          </w:p>
        </w:tc>
        <w:tc>
          <w:tcPr>
            <w:tcW w:w="0" w:type="auto"/>
            <w:shd w:val="clear" w:color="auto" w:fill="B3E5A1" w:themeFill="accent6" w:themeFillTint="66"/>
            <w:hideMark/>
          </w:tcPr>
          <w:p w14:paraId="1E4F5BD5" w14:textId="77777777" w:rsidR="008C2DC3" w:rsidRPr="008E71B9"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ABT</w:t>
            </w:r>
          </w:p>
        </w:tc>
        <w:tc>
          <w:tcPr>
            <w:tcW w:w="0" w:type="auto"/>
            <w:hideMark/>
          </w:tcPr>
          <w:p w14:paraId="6582B187" w14:textId="77777777" w:rsidR="008C2DC3" w:rsidRPr="006B7746"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Abbott Laboratories</w:t>
            </w:r>
          </w:p>
        </w:tc>
        <w:tc>
          <w:tcPr>
            <w:tcW w:w="0" w:type="auto"/>
            <w:hideMark/>
          </w:tcPr>
          <w:p w14:paraId="61E16CE5" w14:textId="77777777" w:rsidR="008C2DC3" w:rsidRPr="006B7746" w:rsidRDefault="008C2DC3" w:rsidP="00D13F0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1354" w:type="dxa"/>
            <w:hideMark/>
          </w:tcPr>
          <w:p w14:paraId="201B79C4"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0.88</w:t>
            </w:r>
          </w:p>
        </w:tc>
        <w:tc>
          <w:tcPr>
            <w:tcW w:w="1350" w:type="dxa"/>
            <w:hideMark/>
          </w:tcPr>
          <w:p w14:paraId="591B0F3F"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136-162</w:t>
            </w:r>
          </w:p>
        </w:tc>
        <w:tc>
          <w:tcPr>
            <w:tcW w:w="1260" w:type="dxa"/>
            <w:hideMark/>
          </w:tcPr>
          <w:p w14:paraId="7E24C2D1"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$148</w:t>
            </w:r>
          </w:p>
        </w:tc>
        <w:tc>
          <w:tcPr>
            <w:tcW w:w="1165" w:type="dxa"/>
            <w:hideMark/>
          </w:tcPr>
          <w:p w14:paraId="6352D172" w14:textId="77777777" w:rsidR="008C2DC3" w:rsidRPr="006B7746" w:rsidRDefault="008C2DC3" w:rsidP="00E823F5">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17.3%</w:t>
            </w:r>
          </w:p>
        </w:tc>
      </w:tr>
      <w:tr w:rsidR="008C2DC3" w:rsidRPr="006B7746" w14:paraId="5646C6F6" w14:textId="77777777" w:rsidTr="00EE0667">
        <w:tc>
          <w:tcPr>
            <w:cnfStyle w:val="001000000000" w:firstRow="0" w:lastRow="0" w:firstColumn="1" w:lastColumn="0" w:oddVBand="0" w:evenVBand="0" w:oddHBand="0" w:evenHBand="0" w:firstRowFirstColumn="0" w:firstRowLastColumn="0" w:lastRowFirstColumn="0" w:lastRowLastColumn="0"/>
            <w:tcW w:w="0" w:type="auto"/>
            <w:hideMark/>
          </w:tcPr>
          <w:p w14:paraId="79B18E05" w14:textId="24748D6F" w:rsidR="008C2DC3" w:rsidRPr="006B7746" w:rsidRDefault="008C2DC3">
            <w:pPr>
              <w:pStyle w:val="p1"/>
              <w:rPr>
                <w:rFonts w:asciiTheme="minorHAnsi" w:hAnsiTheme="minorHAnsi"/>
                <w:sz w:val="21"/>
                <w:szCs w:val="21"/>
              </w:rPr>
            </w:pPr>
            <w:r>
              <w:rPr>
                <w:rFonts w:asciiTheme="minorHAnsi" w:hAnsiTheme="minorHAnsi"/>
                <w:sz w:val="21"/>
                <w:szCs w:val="21"/>
              </w:rPr>
              <w:t>4</w:t>
            </w:r>
          </w:p>
        </w:tc>
        <w:tc>
          <w:tcPr>
            <w:tcW w:w="0" w:type="auto"/>
            <w:shd w:val="clear" w:color="auto" w:fill="B3E5A1" w:themeFill="accent6" w:themeFillTint="66"/>
            <w:hideMark/>
          </w:tcPr>
          <w:p w14:paraId="2BA23EA5" w14:textId="77777777" w:rsidR="008C2DC3" w:rsidRPr="0041292E"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41292E">
              <w:rPr>
                <w:rFonts w:asciiTheme="minorHAnsi" w:hAnsiTheme="minorHAnsi"/>
                <w:sz w:val="21"/>
                <w:szCs w:val="21"/>
              </w:rPr>
              <w:t>TMO</w:t>
            </w:r>
          </w:p>
        </w:tc>
        <w:tc>
          <w:tcPr>
            <w:tcW w:w="0" w:type="auto"/>
            <w:hideMark/>
          </w:tcPr>
          <w:p w14:paraId="0A49F7EB" w14:textId="77777777" w:rsidR="008C2DC3" w:rsidRPr="006B7746"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proofErr w:type="spellStart"/>
            <w:r w:rsidRPr="006B7746">
              <w:rPr>
                <w:rFonts w:asciiTheme="minorHAnsi" w:hAnsiTheme="minorHAnsi"/>
                <w:sz w:val="21"/>
                <w:szCs w:val="21"/>
              </w:rPr>
              <w:t>Thermo</w:t>
            </w:r>
            <w:proofErr w:type="spellEnd"/>
            <w:r w:rsidRPr="006B7746">
              <w:rPr>
                <w:rFonts w:asciiTheme="minorHAnsi" w:hAnsiTheme="minorHAnsi"/>
                <w:sz w:val="21"/>
                <w:szCs w:val="21"/>
              </w:rPr>
              <w:t xml:space="preserve"> Fisher Scientific</w:t>
            </w:r>
          </w:p>
        </w:tc>
        <w:tc>
          <w:tcPr>
            <w:tcW w:w="0" w:type="auto"/>
            <w:hideMark/>
          </w:tcPr>
          <w:p w14:paraId="52B899C8" w14:textId="77777777" w:rsidR="008C2DC3" w:rsidRPr="006B7746" w:rsidRDefault="008C2DC3" w:rsidP="00D13F0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1354" w:type="dxa"/>
            <w:hideMark/>
          </w:tcPr>
          <w:p w14:paraId="0EF07C54"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0.88</w:t>
            </w:r>
          </w:p>
        </w:tc>
        <w:tc>
          <w:tcPr>
            <w:tcW w:w="1350" w:type="dxa"/>
            <w:hideMark/>
          </w:tcPr>
          <w:p w14:paraId="3ADE60DB"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570-$750</w:t>
            </w:r>
          </w:p>
        </w:tc>
        <w:tc>
          <w:tcPr>
            <w:tcW w:w="1260" w:type="dxa"/>
            <w:hideMark/>
          </w:tcPr>
          <w:p w14:paraId="00369032"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$669</w:t>
            </w:r>
          </w:p>
        </w:tc>
        <w:tc>
          <w:tcPr>
            <w:tcW w:w="1165" w:type="dxa"/>
            <w:hideMark/>
          </w:tcPr>
          <w:p w14:paraId="48469173" w14:textId="77777777" w:rsidR="008C2DC3" w:rsidRPr="006B7746" w:rsidRDefault="008C2DC3" w:rsidP="00E823F5">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15.4%</w:t>
            </w:r>
          </w:p>
        </w:tc>
      </w:tr>
      <w:tr w:rsidR="008C2DC3" w:rsidRPr="006B7746" w14:paraId="375CE8F0" w14:textId="77777777" w:rsidTr="008E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4BBFF4" w14:textId="37EA870A" w:rsidR="008C2DC3" w:rsidRDefault="008C2DC3">
            <w:pPr>
              <w:pStyle w:val="p1"/>
              <w:rPr>
                <w:rFonts w:asciiTheme="minorHAnsi" w:hAnsiTheme="minorHAnsi"/>
                <w:sz w:val="21"/>
                <w:szCs w:val="21"/>
              </w:rPr>
            </w:pPr>
            <w:r>
              <w:rPr>
                <w:rFonts w:asciiTheme="minorHAnsi" w:hAnsiTheme="minorHAnsi"/>
                <w:sz w:val="21"/>
                <w:szCs w:val="21"/>
              </w:rPr>
              <w:t>5</w:t>
            </w:r>
          </w:p>
        </w:tc>
        <w:tc>
          <w:tcPr>
            <w:tcW w:w="0" w:type="auto"/>
            <w:shd w:val="clear" w:color="auto" w:fill="B3E5A1" w:themeFill="accent6" w:themeFillTint="66"/>
          </w:tcPr>
          <w:p w14:paraId="190FE5C2" w14:textId="4853E39E" w:rsidR="008C2DC3" w:rsidRPr="006B7746"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DXCM</w:t>
            </w:r>
          </w:p>
        </w:tc>
        <w:tc>
          <w:tcPr>
            <w:tcW w:w="0" w:type="auto"/>
          </w:tcPr>
          <w:p w14:paraId="11EE0F88" w14:textId="77777777" w:rsidR="008C2DC3" w:rsidRPr="006B7746"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Dexcom</w:t>
            </w:r>
          </w:p>
        </w:tc>
        <w:tc>
          <w:tcPr>
            <w:tcW w:w="0" w:type="auto"/>
          </w:tcPr>
          <w:p w14:paraId="74D695E4" w14:textId="77777777" w:rsidR="008C2DC3" w:rsidRPr="006B7746" w:rsidRDefault="008C2DC3" w:rsidP="00D13F0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1354" w:type="dxa"/>
          </w:tcPr>
          <w:p w14:paraId="67414296"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0.80</w:t>
            </w:r>
          </w:p>
        </w:tc>
        <w:tc>
          <w:tcPr>
            <w:tcW w:w="1350" w:type="dxa"/>
          </w:tcPr>
          <w:p w14:paraId="4DA470F3"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$68-$112</w:t>
            </w:r>
          </w:p>
        </w:tc>
        <w:tc>
          <w:tcPr>
            <w:tcW w:w="1260" w:type="dxa"/>
          </w:tcPr>
          <w:p w14:paraId="388DE8CE"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$91</w:t>
            </w:r>
          </w:p>
        </w:tc>
        <w:tc>
          <w:tcPr>
            <w:tcW w:w="1165" w:type="dxa"/>
          </w:tcPr>
          <w:p w14:paraId="3728E819" w14:textId="77777777" w:rsidR="008C2DC3" w:rsidRDefault="008C2DC3" w:rsidP="00E823F5">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36.8%</w:t>
            </w:r>
          </w:p>
        </w:tc>
      </w:tr>
      <w:tr w:rsidR="008C2DC3" w:rsidRPr="006B7746" w14:paraId="12A8FB0F" w14:textId="77777777" w:rsidTr="008E71B9">
        <w:tc>
          <w:tcPr>
            <w:cnfStyle w:val="001000000000" w:firstRow="0" w:lastRow="0" w:firstColumn="1" w:lastColumn="0" w:oddVBand="0" w:evenVBand="0" w:oddHBand="0" w:evenHBand="0" w:firstRowFirstColumn="0" w:firstRowLastColumn="0" w:lastRowFirstColumn="0" w:lastRowLastColumn="0"/>
            <w:tcW w:w="0" w:type="auto"/>
            <w:hideMark/>
          </w:tcPr>
          <w:p w14:paraId="02612193" w14:textId="77777777" w:rsidR="008C2DC3" w:rsidRPr="006B7746" w:rsidRDefault="008C2DC3">
            <w:pPr>
              <w:pStyle w:val="p1"/>
              <w:rPr>
                <w:rFonts w:asciiTheme="minorHAnsi" w:hAnsiTheme="minorHAnsi"/>
                <w:sz w:val="21"/>
                <w:szCs w:val="21"/>
              </w:rPr>
            </w:pPr>
            <w:r>
              <w:rPr>
                <w:rFonts w:asciiTheme="minorHAnsi" w:hAnsiTheme="minorHAnsi"/>
                <w:sz w:val="21"/>
                <w:szCs w:val="21"/>
              </w:rPr>
              <w:t>6</w:t>
            </w:r>
          </w:p>
        </w:tc>
        <w:tc>
          <w:tcPr>
            <w:tcW w:w="0" w:type="auto"/>
            <w:shd w:val="clear" w:color="auto" w:fill="B3E5A1" w:themeFill="accent6" w:themeFillTint="66"/>
            <w:hideMark/>
          </w:tcPr>
          <w:p w14:paraId="6351A478" w14:textId="77777777" w:rsidR="008C2DC3" w:rsidRPr="008E71B9"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LLY</w:t>
            </w:r>
          </w:p>
        </w:tc>
        <w:tc>
          <w:tcPr>
            <w:tcW w:w="0" w:type="auto"/>
            <w:hideMark/>
          </w:tcPr>
          <w:p w14:paraId="4E1F85E8" w14:textId="77777777" w:rsidR="008C2DC3" w:rsidRPr="006B7746"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Eli Lilly</w:t>
            </w:r>
          </w:p>
        </w:tc>
        <w:tc>
          <w:tcPr>
            <w:tcW w:w="0" w:type="auto"/>
            <w:hideMark/>
          </w:tcPr>
          <w:p w14:paraId="2A60FEDB" w14:textId="77777777" w:rsidR="008C2DC3" w:rsidRPr="006B7746" w:rsidRDefault="008C2DC3" w:rsidP="00D13F0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1354" w:type="dxa"/>
            <w:hideMark/>
          </w:tcPr>
          <w:p w14:paraId="661DEEC6"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0.93</w:t>
            </w:r>
          </w:p>
        </w:tc>
        <w:tc>
          <w:tcPr>
            <w:tcW w:w="1350" w:type="dxa"/>
            <w:hideMark/>
          </w:tcPr>
          <w:p w14:paraId="255E0C41"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960-$1500</w:t>
            </w:r>
          </w:p>
        </w:tc>
        <w:tc>
          <w:tcPr>
            <w:tcW w:w="1260" w:type="dxa"/>
            <w:hideMark/>
          </w:tcPr>
          <w:p w14:paraId="2408E9CA"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1190</w:t>
            </w:r>
          </w:p>
        </w:tc>
        <w:tc>
          <w:tcPr>
            <w:tcW w:w="1165" w:type="dxa"/>
            <w:hideMark/>
          </w:tcPr>
          <w:p w14:paraId="04FDAB80" w14:textId="77777777" w:rsidR="008C2DC3" w:rsidRPr="006B7746" w:rsidRDefault="008C2DC3" w:rsidP="00E823F5">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10.7%</w:t>
            </w:r>
          </w:p>
        </w:tc>
      </w:tr>
      <w:tr w:rsidR="008C2DC3" w:rsidRPr="006B7746" w14:paraId="02A22531" w14:textId="77777777" w:rsidTr="008E71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7B432B5" w14:textId="17DBD643" w:rsidR="008C2DC3" w:rsidRDefault="008C2DC3">
            <w:pPr>
              <w:pStyle w:val="p1"/>
              <w:rPr>
                <w:rFonts w:asciiTheme="minorHAnsi" w:hAnsiTheme="minorHAnsi"/>
                <w:sz w:val="21"/>
                <w:szCs w:val="21"/>
              </w:rPr>
            </w:pPr>
            <w:r>
              <w:rPr>
                <w:rFonts w:asciiTheme="minorHAnsi" w:hAnsiTheme="minorHAnsi"/>
                <w:sz w:val="21"/>
                <w:szCs w:val="21"/>
              </w:rPr>
              <w:t>7</w:t>
            </w:r>
          </w:p>
        </w:tc>
        <w:tc>
          <w:tcPr>
            <w:tcW w:w="0" w:type="auto"/>
            <w:shd w:val="clear" w:color="auto" w:fill="B3E5A1" w:themeFill="accent6" w:themeFillTint="66"/>
          </w:tcPr>
          <w:p w14:paraId="570A35CD" w14:textId="77777777" w:rsidR="008C2DC3" w:rsidRPr="008E71B9"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VRTX</w:t>
            </w:r>
          </w:p>
        </w:tc>
        <w:tc>
          <w:tcPr>
            <w:tcW w:w="0" w:type="auto"/>
          </w:tcPr>
          <w:p w14:paraId="3DBED077" w14:textId="77777777" w:rsidR="008C2DC3"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Vertex Pharma.</w:t>
            </w:r>
          </w:p>
        </w:tc>
        <w:tc>
          <w:tcPr>
            <w:tcW w:w="0" w:type="auto"/>
          </w:tcPr>
          <w:p w14:paraId="5C503AA6" w14:textId="77777777" w:rsidR="008C2DC3" w:rsidRDefault="008C2DC3" w:rsidP="00D13F0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1354" w:type="dxa"/>
          </w:tcPr>
          <w:p w14:paraId="0CE6CED8"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0.90</w:t>
            </w:r>
          </w:p>
        </w:tc>
        <w:tc>
          <w:tcPr>
            <w:tcW w:w="1350" w:type="dxa"/>
          </w:tcPr>
          <w:p w14:paraId="0D99F476"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$414-$604</w:t>
            </w:r>
          </w:p>
        </w:tc>
        <w:tc>
          <w:tcPr>
            <w:tcW w:w="1260" w:type="dxa"/>
          </w:tcPr>
          <w:p w14:paraId="66440AFD" w14:textId="77777777" w:rsidR="008C2DC3"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$513</w:t>
            </w:r>
          </w:p>
        </w:tc>
        <w:tc>
          <w:tcPr>
            <w:tcW w:w="1165" w:type="dxa"/>
          </w:tcPr>
          <w:p w14:paraId="5B66679F" w14:textId="77777777" w:rsidR="008C2DC3" w:rsidRDefault="008C2DC3" w:rsidP="00E823F5">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13.4%</w:t>
            </w:r>
          </w:p>
        </w:tc>
      </w:tr>
      <w:tr w:rsidR="008C2DC3" w:rsidRPr="006B7746" w14:paraId="241E6729" w14:textId="77777777" w:rsidTr="008E71B9">
        <w:tc>
          <w:tcPr>
            <w:cnfStyle w:val="001000000000" w:firstRow="0" w:lastRow="0" w:firstColumn="1" w:lastColumn="0" w:oddVBand="0" w:evenVBand="0" w:oddHBand="0" w:evenHBand="0" w:firstRowFirstColumn="0" w:firstRowLastColumn="0" w:lastRowFirstColumn="0" w:lastRowLastColumn="0"/>
            <w:tcW w:w="0" w:type="auto"/>
          </w:tcPr>
          <w:p w14:paraId="217987E5" w14:textId="05522FE3" w:rsidR="008C2DC3" w:rsidRDefault="008C2DC3">
            <w:pPr>
              <w:pStyle w:val="p1"/>
              <w:rPr>
                <w:rFonts w:asciiTheme="minorHAnsi" w:hAnsiTheme="minorHAnsi"/>
                <w:sz w:val="21"/>
                <w:szCs w:val="21"/>
              </w:rPr>
            </w:pPr>
            <w:r>
              <w:rPr>
                <w:rFonts w:asciiTheme="minorHAnsi" w:hAnsiTheme="minorHAnsi"/>
                <w:sz w:val="21"/>
                <w:szCs w:val="21"/>
              </w:rPr>
              <w:t>8</w:t>
            </w:r>
          </w:p>
        </w:tc>
        <w:tc>
          <w:tcPr>
            <w:tcW w:w="0" w:type="auto"/>
            <w:shd w:val="clear" w:color="auto" w:fill="B3E5A1" w:themeFill="accent6" w:themeFillTint="66"/>
          </w:tcPr>
          <w:p w14:paraId="4E5F0D6C" w14:textId="3CCCD516" w:rsidR="008C2DC3" w:rsidRPr="008E71B9"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8E71B9">
              <w:rPr>
                <w:rFonts w:asciiTheme="minorHAnsi" w:hAnsiTheme="minorHAnsi"/>
                <w:sz w:val="21"/>
                <w:szCs w:val="21"/>
              </w:rPr>
              <w:t>ABBV</w:t>
            </w:r>
            <w:r w:rsidR="00A91993" w:rsidRPr="00A91993">
              <w:rPr>
                <w:rFonts w:asciiTheme="minorHAnsi" w:hAnsiTheme="minorHAnsi"/>
                <w:sz w:val="21"/>
                <w:szCs w:val="21"/>
                <w:vertAlign w:val="superscript"/>
              </w:rPr>
              <w:t>3</w:t>
            </w:r>
          </w:p>
        </w:tc>
        <w:tc>
          <w:tcPr>
            <w:tcW w:w="0" w:type="auto"/>
          </w:tcPr>
          <w:p w14:paraId="2F92BFAD" w14:textId="77777777" w:rsidR="008C2DC3" w:rsidRPr="006B7746"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proofErr w:type="spellStart"/>
            <w:r>
              <w:rPr>
                <w:rFonts w:asciiTheme="minorHAnsi" w:hAnsiTheme="minorHAnsi"/>
                <w:sz w:val="21"/>
                <w:szCs w:val="21"/>
              </w:rPr>
              <w:t>Abbvie</w:t>
            </w:r>
            <w:proofErr w:type="spellEnd"/>
            <w:r>
              <w:rPr>
                <w:rFonts w:asciiTheme="minorHAnsi" w:hAnsiTheme="minorHAnsi"/>
                <w:sz w:val="21"/>
                <w:szCs w:val="21"/>
              </w:rPr>
              <w:t>, Inc.</w:t>
            </w:r>
          </w:p>
        </w:tc>
        <w:tc>
          <w:tcPr>
            <w:tcW w:w="0" w:type="auto"/>
          </w:tcPr>
          <w:p w14:paraId="2BD028B7" w14:textId="77777777" w:rsidR="008C2DC3" w:rsidRPr="006B7746" w:rsidRDefault="008C2DC3" w:rsidP="00D13F0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1354" w:type="dxa"/>
          </w:tcPr>
          <w:p w14:paraId="6BB6B84A" w14:textId="77777777" w:rsidR="008C2DC3"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0.90</w:t>
            </w:r>
          </w:p>
        </w:tc>
        <w:tc>
          <w:tcPr>
            <w:tcW w:w="1350" w:type="dxa"/>
          </w:tcPr>
          <w:p w14:paraId="5BC8D77B"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$218-$289</w:t>
            </w:r>
          </w:p>
        </w:tc>
        <w:tc>
          <w:tcPr>
            <w:tcW w:w="1260" w:type="dxa"/>
          </w:tcPr>
          <w:p w14:paraId="42FF7967" w14:textId="77777777" w:rsidR="008C2DC3"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$252</w:t>
            </w:r>
          </w:p>
        </w:tc>
        <w:tc>
          <w:tcPr>
            <w:tcW w:w="1165" w:type="dxa"/>
          </w:tcPr>
          <w:p w14:paraId="5DE13796" w14:textId="77777777" w:rsidR="008C2DC3" w:rsidRDefault="008C2DC3" w:rsidP="00E823F5">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10.2%</w:t>
            </w:r>
          </w:p>
        </w:tc>
      </w:tr>
      <w:tr w:rsidR="008C2DC3" w:rsidRPr="006B7746" w14:paraId="1EBAF241"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68586D" w14:textId="540382F0" w:rsidR="008C2DC3" w:rsidRPr="006B7746" w:rsidRDefault="008C2DC3">
            <w:pPr>
              <w:pStyle w:val="p1"/>
              <w:rPr>
                <w:rFonts w:asciiTheme="minorHAnsi" w:hAnsiTheme="minorHAnsi"/>
                <w:sz w:val="21"/>
                <w:szCs w:val="21"/>
              </w:rPr>
            </w:pPr>
            <w:r>
              <w:rPr>
                <w:rFonts w:asciiTheme="minorHAnsi" w:hAnsiTheme="minorHAnsi"/>
                <w:sz w:val="21"/>
                <w:szCs w:val="21"/>
              </w:rPr>
              <w:t>9</w:t>
            </w:r>
          </w:p>
        </w:tc>
        <w:tc>
          <w:tcPr>
            <w:tcW w:w="0" w:type="auto"/>
            <w:hideMark/>
          </w:tcPr>
          <w:p w14:paraId="671520D7" w14:textId="36A50AAA" w:rsidR="008C2DC3" w:rsidRPr="0041292E"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41292E">
              <w:rPr>
                <w:rFonts w:asciiTheme="minorHAnsi" w:hAnsiTheme="minorHAnsi"/>
                <w:sz w:val="21"/>
                <w:szCs w:val="21"/>
              </w:rPr>
              <w:t>AMGN</w:t>
            </w:r>
            <w:r w:rsidR="00A91993">
              <w:rPr>
                <w:rFonts w:asciiTheme="minorHAnsi" w:hAnsiTheme="minorHAnsi"/>
                <w:sz w:val="21"/>
                <w:szCs w:val="21"/>
                <w:vertAlign w:val="superscript"/>
              </w:rPr>
              <w:t>4</w:t>
            </w:r>
          </w:p>
        </w:tc>
        <w:tc>
          <w:tcPr>
            <w:tcW w:w="0" w:type="auto"/>
            <w:hideMark/>
          </w:tcPr>
          <w:p w14:paraId="3099D0BE" w14:textId="77777777" w:rsidR="008C2DC3" w:rsidRPr="006B7746" w:rsidRDefault="008C2DC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Amgen</w:t>
            </w:r>
          </w:p>
        </w:tc>
        <w:tc>
          <w:tcPr>
            <w:tcW w:w="0" w:type="auto"/>
            <w:hideMark/>
          </w:tcPr>
          <w:p w14:paraId="17E9CD70" w14:textId="77777777" w:rsidR="008C2DC3" w:rsidRPr="006B7746" w:rsidRDefault="008C2DC3" w:rsidP="00D13F0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N</w:t>
            </w:r>
          </w:p>
        </w:tc>
        <w:tc>
          <w:tcPr>
            <w:tcW w:w="1354" w:type="dxa"/>
            <w:hideMark/>
          </w:tcPr>
          <w:p w14:paraId="7F7AEEF1"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0.88</w:t>
            </w:r>
          </w:p>
        </w:tc>
        <w:tc>
          <w:tcPr>
            <w:tcW w:w="1350" w:type="dxa"/>
            <w:hideMark/>
          </w:tcPr>
          <w:p w14:paraId="2A2D88AA" w14:textId="77777777" w:rsidR="008C2DC3" w:rsidRPr="006B7746"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272-$425</w:t>
            </w:r>
          </w:p>
        </w:tc>
        <w:tc>
          <w:tcPr>
            <w:tcW w:w="1260" w:type="dxa"/>
            <w:shd w:val="clear" w:color="auto" w:fill="B3E5A1" w:themeFill="accent6" w:themeFillTint="66"/>
            <w:hideMark/>
          </w:tcPr>
          <w:p w14:paraId="2FE0B800" w14:textId="137175AC" w:rsidR="008C2DC3" w:rsidRPr="0041292E" w:rsidRDefault="008C2DC3" w:rsidP="00D13F0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41292E">
              <w:rPr>
                <w:rFonts w:asciiTheme="minorHAnsi" w:hAnsiTheme="minorHAnsi"/>
                <w:sz w:val="21"/>
                <w:szCs w:val="21"/>
              </w:rPr>
              <w:t>$368</w:t>
            </w:r>
          </w:p>
        </w:tc>
        <w:tc>
          <w:tcPr>
            <w:tcW w:w="1165" w:type="dxa"/>
            <w:hideMark/>
          </w:tcPr>
          <w:p w14:paraId="5AFFB476" w14:textId="77777777" w:rsidR="008C2DC3" w:rsidRPr="006B7746" w:rsidRDefault="008C2DC3" w:rsidP="00E823F5">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12.3%</w:t>
            </w:r>
          </w:p>
        </w:tc>
      </w:tr>
      <w:tr w:rsidR="008C2DC3" w:rsidRPr="006B7746" w14:paraId="7E83AA7B" w14:textId="77777777" w:rsidTr="00A4476C">
        <w:tc>
          <w:tcPr>
            <w:cnfStyle w:val="001000000000" w:firstRow="0" w:lastRow="0" w:firstColumn="1" w:lastColumn="0" w:oddVBand="0" w:evenVBand="0" w:oddHBand="0" w:evenHBand="0" w:firstRowFirstColumn="0" w:firstRowLastColumn="0" w:lastRowFirstColumn="0" w:lastRowLastColumn="0"/>
            <w:tcW w:w="0" w:type="auto"/>
            <w:hideMark/>
          </w:tcPr>
          <w:p w14:paraId="04EC63DC" w14:textId="59A0B2E6" w:rsidR="008C2DC3" w:rsidRPr="006B7746" w:rsidRDefault="008C2DC3">
            <w:pPr>
              <w:pStyle w:val="p1"/>
              <w:rPr>
                <w:rFonts w:asciiTheme="minorHAnsi" w:hAnsiTheme="minorHAnsi"/>
                <w:sz w:val="21"/>
                <w:szCs w:val="21"/>
              </w:rPr>
            </w:pPr>
            <w:r>
              <w:rPr>
                <w:rFonts w:asciiTheme="minorHAnsi" w:hAnsiTheme="minorHAnsi"/>
                <w:sz w:val="21"/>
                <w:szCs w:val="21"/>
              </w:rPr>
              <w:t>10</w:t>
            </w:r>
          </w:p>
        </w:tc>
        <w:tc>
          <w:tcPr>
            <w:tcW w:w="0" w:type="auto"/>
            <w:shd w:val="clear" w:color="auto" w:fill="B3E5A1" w:themeFill="accent6" w:themeFillTint="66"/>
            <w:hideMark/>
          </w:tcPr>
          <w:p w14:paraId="7BBFA3E5" w14:textId="77777777" w:rsidR="008C2DC3" w:rsidRPr="008C2DC3"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8C2DC3">
              <w:rPr>
                <w:rFonts w:asciiTheme="minorHAnsi" w:hAnsiTheme="minorHAnsi"/>
                <w:sz w:val="21"/>
                <w:szCs w:val="21"/>
              </w:rPr>
              <w:t>DHR</w:t>
            </w:r>
          </w:p>
        </w:tc>
        <w:tc>
          <w:tcPr>
            <w:tcW w:w="0" w:type="auto"/>
            <w:hideMark/>
          </w:tcPr>
          <w:p w14:paraId="01FF7225" w14:textId="77777777" w:rsidR="008C2DC3" w:rsidRPr="006B7746" w:rsidRDefault="008C2DC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Danaher</w:t>
            </w:r>
          </w:p>
        </w:tc>
        <w:tc>
          <w:tcPr>
            <w:tcW w:w="0" w:type="auto"/>
            <w:hideMark/>
          </w:tcPr>
          <w:p w14:paraId="3FCAA2C6" w14:textId="77777777" w:rsidR="008C2DC3" w:rsidRPr="006B7746" w:rsidRDefault="008C2DC3" w:rsidP="00D13F0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1354" w:type="dxa"/>
            <w:hideMark/>
          </w:tcPr>
          <w:p w14:paraId="5BD35BA6"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0.85</w:t>
            </w:r>
          </w:p>
        </w:tc>
        <w:tc>
          <w:tcPr>
            <w:tcW w:w="1350" w:type="dxa"/>
            <w:hideMark/>
          </w:tcPr>
          <w:p w14:paraId="566FD85A"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220-$310</w:t>
            </w:r>
          </w:p>
        </w:tc>
        <w:tc>
          <w:tcPr>
            <w:tcW w:w="1260" w:type="dxa"/>
            <w:hideMark/>
          </w:tcPr>
          <w:p w14:paraId="1BCBE7DD" w14:textId="77777777" w:rsidR="008C2DC3" w:rsidRPr="006B7746" w:rsidRDefault="008C2DC3" w:rsidP="00D13F0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6B7746">
              <w:rPr>
                <w:rFonts w:asciiTheme="minorHAnsi" w:hAnsiTheme="minorHAnsi"/>
                <w:sz w:val="21"/>
                <w:szCs w:val="21"/>
              </w:rPr>
              <w:t>$</w:t>
            </w:r>
            <w:r>
              <w:rPr>
                <w:rFonts w:asciiTheme="minorHAnsi" w:hAnsiTheme="minorHAnsi"/>
                <w:sz w:val="21"/>
                <w:szCs w:val="21"/>
              </w:rPr>
              <w:t>264</w:t>
            </w:r>
          </w:p>
        </w:tc>
        <w:tc>
          <w:tcPr>
            <w:tcW w:w="1165" w:type="dxa"/>
            <w:hideMark/>
          </w:tcPr>
          <w:p w14:paraId="788AC3BA" w14:textId="77777777" w:rsidR="008C2DC3" w:rsidRPr="006B7746" w:rsidRDefault="008C2DC3" w:rsidP="00E823F5">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15.3%</w:t>
            </w:r>
          </w:p>
        </w:tc>
      </w:tr>
    </w:tbl>
    <w:p w14:paraId="538C42E5" w14:textId="3C31F30A" w:rsidR="00A26C29" w:rsidRPr="005C3B4E" w:rsidRDefault="00DB3CED" w:rsidP="00A26C29">
      <w:pPr>
        <w:pStyle w:val="p1"/>
        <w:rPr>
          <w:sz w:val="20"/>
          <w:szCs w:val="20"/>
        </w:rPr>
      </w:pPr>
      <w:r w:rsidRPr="00DB3CED">
        <w:rPr>
          <w:sz w:val="20"/>
          <w:szCs w:val="20"/>
          <w:vertAlign w:val="superscript"/>
        </w:rPr>
        <w:t>1</w:t>
      </w:r>
      <w:r w:rsidR="00A26C29">
        <w:rPr>
          <w:sz w:val="20"/>
          <w:szCs w:val="20"/>
        </w:rPr>
        <w:t xml:space="preserve"> </w:t>
      </w:r>
      <w:r w:rsidR="00200B25">
        <w:rPr>
          <w:sz w:val="20"/>
          <w:szCs w:val="20"/>
        </w:rPr>
        <w:t>Median value of values provided by Gemini</w:t>
      </w:r>
      <w:r w:rsidR="00A57325">
        <w:rPr>
          <w:sz w:val="20"/>
          <w:szCs w:val="20"/>
        </w:rPr>
        <w:t xml:space="preserve"> 3</w:t>
      </w:r>
      <w:r w:rsidR="00200B25">
        <w:rPr>
          <w:sz w:val="20"/>
          <w:szCs w:val="20"/>
        </w:rPr>
        <w:t>, Claude, Perplexity, ChatGPT, and Grok.</w:t>
      </w:r>
      <w:r w:rsidR="003B6B7A">
        <w:rPr>
          <w:sz w:val="20"/>
          <w:szCs w:val="20"/>
        </w:rPr>
        <w:t xml:space="preserve">  1-Yr Return based on Thesis 1-yr target</w:t>
      </w:r>
    </w:p>
    <w:p w14:paraId="392192C1" w14:textId="4CF76A34" w:rsidR="00A4476C" w:rsidRDefault="00DB3CED" w:rsidP="00A26C29">
      <w:pPr>
        <w:pStyle w:val="p1"/>
        <w:rPr>
          <w:sz w:val="20"/>
          <w:szCs w:val="20"/>
        </w:rPr>
      </w:pPr>
      <w:r w:rsidRPr="00DB3CED">
        <w:rPr>
          <w:sz w:val="20"/>
          <w:szCs w:val="20"/>
          <w:vertAlign w:val="superscript"/>
        </w:rPr>
        <w:t>2</w:t>
      </w:r>
      <w:r w:rsidR="00A26C29">
        <w:rPr>
          <w:sz w:val="20"/>
          <w:szCs w:val="20"/>
        </w:rPr>
        <w:t xml:space="preserve"> </w:t>
      </w:r>
      <w:r w:rsidR="00DF2B3D">
        <w:rPr>
          <w:sz w:val="20"/>
          <w:szCs w:val="20"/>
        </w:rPr>
        <w:t xml:space="preserve">Median of </w:t>
      </w:r>
      <w:r w:rsidR="00AF1661">
        <w:rPr>
          <w:sz w:val="20"/>
          <w:szCs w:val="20"/>
        </w:rPr>
        <w:t>Gemini</w:t>
      </w:r>
      <w:r w:rsidR="00A57325">
        <w:rPr>
          <w:sz w:val="20"/>
          <w:szCs w:val="20"/>
        </w:rPr>
        <w:t xml:space="preserve"> 3</w:t>
      </w:r>
      <w:r w:rsidR="00AF1661">
        <w:rPr>
          <w:sz w:val="20"/>
          <w:szCs w:val="20"/>
        </w:rPr>
        <w:t xml:space="preserve">, </w:t>
      </w:r>
      <w:r w:rsidR="00DF2B3D">
        <w:rPr>
          <w:sz w:val="20"/>
          <w:szCs w:val="20"/>
        </w:rPr>
        <w:t xml:space="preserve">Claude, Perplexity, ChatGPT, Grok, and the midpoint of the range provided on </w:t>
      </w:r>
      <w:proofErr w:type="spellStart"/>
      <w:r w:rsidR="00DF2B3D">
        <w:rPr>
          <w:sz w:val="20"/>
          <w:szCs w:val="20"/>
        </w:rPr>
        <w:t>TipRanks</w:t>
      </w:r>
      <w:proofErr w:type="spellEnd"/>
      <w:r w:rsidR="00DF2B3D">
        <w:rPr>
          <w:sz w:val="20"/>
          <w:szCs w:val="20"/>
        </w:rPr>
        <w:t xml:space="preserve">.  The latter data point was </w:t>
      </w:r>
      <w:r w:rsidR="00200B25">
        <w:rPr>
          <w:sz w:val="20"/>
          <w:szCs w:val="20"/>
        </w:rPr>
        <w:t>included</w:t>
      </w:r>
      <w:r w:rsidR="00DF2B3D">
        <w:rPr>
          <w:sz w:val="20"/>
          <w:szCs w:val="20"/>
        </w:rPr>
        <w:t xml:space="preserve"> to ground the AI predications.</w:t>
      </w:r>
    </w:p>
    <w:p w14:paraId="31D45720" w14:textId="5C776136" w:rsidR="00A91993" w:rsidRDefault="00A91993" w:rsidP="00A26C29">
      <w:pPr>
        <w:pStyle w:val="p1"/>
        <w:rPr>
          <w:sz w:val="20"/>
          <w:szCs w:val="20"/>
        </w:rPr>
      </w:pPr>
      <w:r w:rsidRPr="00B00B77">
        <w:rPr>
          <w:sz w:val="20"/>
          <w:szCs w:val="20"/>
          <w:vertAlign w:val="superscript"/>
        </w:rPr>
        <w:t>3</w:t>
      </w:r>
      <w:r>
        <w:rPr>
          <w:sz w:val="20"/>
          <w:szCs w:val="20"/>
        </w:rPr>
        <w:t xml:space="preserve"> Company has notable dividend component.</w:t>
      </w:r>
    </w:p>
    <w:p w14:paraId="0F133DAF" w14:textId="2C2FC1D6" w:rsidR="003C10FC" w:rsidRDefault="00A91993" w:rsidP="00E93A9E">
      <w:pPr>
        <w:pStyle w:val="p1"/>
        <w:rPr>
          <w:sz w:val="20"/>
          <w:szCs w:val="20"/>
        </w:rPr>
      </w:pPr>
      <w:r w:rsidRPr="00A91993">
        <w:rPr>
          <w:sz w:val="20"/>
          <w:szCs w:val="20"/>
          <w:vertAlign w:val="superscript"/>
        </w:rPr>
        <w:t>4</w:t>
      </w:r>
      <w:r w:rsidR="0041292E">
        <w:rPr>
          <w:sz w:val="20"/>
          <w:szCs w:val="20"/>
        </w:rPr>
        <w:t xml:space="preserve"> Price rose too quickly to buy</w:t>
      </w:r>
      <w:r w:rsidR="00E93A9E">
        <w:rPr>
          <w:sz w:val="20"/>
          <w:szCs w:val="20"/>
        </w:rPr>
        <w:t>.</w:t>
      </w:r>
    </w:p>
    <w:p w14:paraId="418DFB47" w14:textId="1BD2A742" w:rsidR="00247AA7" w:rsidRDefault="00247AA7" w:rsidP="00E93A9E">
      <w:pPr>
        <w:pStyle w:val="p1"/>
        <w:rPr>
          <w:b/>
          <w:bCs/>
          <w:kern w:val="36"/>
          <w:sz w:val="28"/>
          <w:szCs w:val="28"/>
        </w:rPr>
      </w:pPr>
      <w:r>
        <w:rPr>
          <w:sz w:val="20"/>
          <w:szCs w:val="20"/>
        </w:rPr>
        <w:t>Notes: Tickers highlighted green were selected.  Thesis 1-year targets highlighted in green were achieved during calendar year 2026.</w:t>
      </w:r>
    </w:p>
    <w:p w14:paraId="3BAC2280" w14:textId="77777777" w:rsidR="00DC431E" w:rsidRDefault="00DC431E">
      <w:pPr>
        <w:spacing w:after="160" w:line="278" w:lineRule="auto"/>
        <w:rPr>
          <w:b/>
          <w:bCs/>
          <w:kern w:val="36"/>
          <w:sz w:val="28"/>
          <w:szCs w:val="28"/>
        </w:rPr>
      </w:pPr>
      <w:r>
        <w:rPr>
          <w:b/>
          <w:bCs/>
          <w:kern w:val="36"/>
          <w:sz w:val="28"/>
          <w:szCs w:val="28"/>
        </w:rPr>
        <w:br w:type="page"/>
      </w:r>
    </w:p>
    <w:p w14:paraId="6A36537D" w14:textId="7DE7AB86" w:rsidR="009F312F" w:rsidRPr="009B48AB" w:rsidRDefault="009F312F" w:rsidP="009B48AB">
      <w:pPr>
        <w:pStyle w:val="Heading3"/>
      </w:pPr>
      <w:r w:rsidRPr="009B48AB">
        <w:lastRenderedPageBreak/>
        <w:t>Energy Sector Outlook:</w:t>
      </w:r>
    </w:p>
    <w:p w14:paraId="34729CFD" w14:textId="77777777" w:rsidR="005A5AC3" w:rsidRPr="005C3B4E" w:rsidRDefault="005A5AC3" w:rsidP="00AC2D33">
      <w:r w:rsidRPr="005C3B4E">
        <w:t xml:space="preserve">Entering 2026, the energy sector is </w:t>
      </w:r>
      <w:r w:rsidRPr="005C3B4E">
        <w:rPr>
          <w:rStyle w:val="s1"/>
          <w:rFonts w:eastAsiaTheme="majorEastAsia"/>
        </w:rPr>
        <w:t>structurally stronger, more investable, and more systemically important</w:t>
      </w:r>
      <w:r w:rsidRPr="005C3B4E">
        <w:t xml:space="preserve"> than it was at the start of 2025, but it operates under tighter physical, financial, and policy constraints. Commodity volatility subsides relative to the prior two years as oil and natural gas markets stabilize: global inventories normalize, recession fears ease, and U.S. shale producers sustain disciplined capital spending while benefiting from efficiency gains and robust LNG export demand. At the same time, elevated federal debt and persistent Treasury issuance keep long-term interest rates structurally higher, reinforcing capital discipline across the sector and favoring projects with fast payback, balance-sheet strength, and regulatory clarity rather than speculative expansion.</w:t>
      </w:r>
    </w:p>
    <w:p w14:paraId="7D45EAFA" w14:textId="77777777" w:rsidR="005A5AC3" w:rsidRPr="005C3B4E" w:rsidRDefault="005A5AC3" w:rsidP="00AC2D33">
      <w:r w:rsidRPr="005C3B4E">
        <w:t xml:space="preserve">By mid-2026, the defining feature of the energy landscape is </w:t>
      </w:r>
      <w:r w:rsidRPr="005C3B4E">
        <w:rPr>
          <w:rStyle w:val="s1"/>
          <w:rFonts w:eastAsiaTheme="majorEastAsia"/>
        </w:rPr>
        <w:t>electricity demand growth colliding with grid limitations</w:t>
      </w:r>
      <w:r w:rsidRPr="005C3B4E">
        <w:t>. Rapid expansion of AI data centers, cloud infrastructure, EV charging, and industrial electrification drives concentrated load growth in regions such as Texas, PJM, the Southeast, and parts of the Southwest. Grid capacity, interconnection queues, transformer availability, and permitting timelines become binding constraints on economic expansion, leading to regional price dispersion, higher peak-load stress, and an elevated risk of localized curtailments or brownouts during extreme weather. Utilities respond by accelerating investment in transmission, grid automation, hardening, and new generation, prioritizing natural-gas peakers and reliability upgrades, while nuclear—particularly SMRs—gains strategic and policy support as a long-duration stability resource, even though material capacity additions remain beyond 2026.</w:t>
      </w:r>
    </w:p>
    <w:p w14:paraId="2B1931CF" w14:textId="77777777" w:rsidR="005A5AC3" w:rsidRPr="005C3B4E" w:rsidRDefault="005A5AC3" w:rsidP="00AC2D33">
      <w:r w:rsidRPr="005C3B4E">
        <w:t xml:space="preserve">The energy mix becomes </w:t>
      </w:r>
      <w:r w:rsidRPr="005C3B4E">
        <w:rPr>
          <w:rStyle w:val="s1"/>
          <w:rFonts w:eastAsiaTheme="majorEastAsia"/>
        </w:rPr>
        <w:t xml:space="preserve">more pragmatic and </w:t>
      </w:r>
      <w:proofErr w:type="gramStart"/>
      <w:r w:rsidRPr="005C3B4E">
        <w:rPr>
          <w:rStyle w:val="s1"/>
          <w:rFonts w:eastAsiaTheme="majorEastAsia"/>
        </w:rPr>
        <w:t>reliability-driven</w:t>
      </w:r>
      <w:proofErr w:type="gramEnd"/>
      <w:r w:rsidRPr="005C3B4E">
        <w:t>. Natural gas remains essential for meeting peak demand and balancing renewables, with competing LNG exports and domestic power needs pushing Henry Hub prices higher and increasing volatility. Oil markets, by contrast, remain oversupplied globally, suppressing upstream investment and keeping Brent prices relatively subdued, which favors low-cost producers with disciplined capital allocation over high-beta exploration plays. Renewables continue expanding, but more selectively: solar and battery prices begin falling again as supply chains normalize and excess global manufacturing capacity lowers equipment costs, partially offsetting financing pressure. Growth concentrates in corporate PPAs, hybrid solar-plus-storage projects, and regions with existing grid capacity, while large, subsidy-dependent or interconnection-constrained projects slow. Energy storage and grid-scale power electronics emerge as critical enablers—reducing volatility and improving reliability—but do not fully resolve infrastructure bottlenecks in 2026.</w:t>
      </w:r>
    </w:p>
    <w:p w14:paraId="53C67CA2" w14:textId="6746B9B3" w:rsidR="005A5AC3" w:rsidRPr="005C3B4E" w:rsidRDefault="005A5AC3" w:rsidP="00AC2D33">
      <w:r w:rsidRPr="005C3B4E">
        <w:t xml:space="preserve">Climate volatility and cybersecurity risk increasingly shape sector performance. Heatwaves, droughts, hurricanes, and wildfires drive episodic demand spikes and infrastructure damage, accelerating spending on grid resilience, predictive maintenance, microgrids, and AI-based grid management. These dynamics shift value creation away from pure commodity exposure toward </w:t>
      </w:r>
      <w:r w:rsidRPr="005C3B4E">
        <w:rPr>
          <w:rStyle w:val="s1"/>
          <w:rFonts w:eastAsiaTheme="majorEastAsia"/>
        </w:rPr>
        <w:t>operators, utilities, service providers, and technology firms</w:t>
      </w:r>
      <w:r w:rsidRPr="005C3B4E">
        <w:t xml:space="preserve"> positioned to manage constrained systems. By late 2026, the energy sector is more resilient and capital-disciplined, but outcomes are uneven and regionally fragmented, with performance increasingly determined by execution under constraint—securing reliable power, navigating permitting and interconnection, managing climate and cyber risk—rather than by traditional supply-demand cycles alone.</w:t>
      </w:r>
    </w:p>
    <w:p w14:paraId="5AE3AE1C" w14:textId="18BFE324" w:rsidR="00876DCF" w:rsidRPr="009B48AB" w:rsidRDefault="001B23F3" w:rsidP="009B48AB">
      <w:pPr>
        <w:spacing w:after="160" w:line="278" w:lineRule="auto"/>
        <w:rPr>
          <w:rStyle w:val="s1"/>
          <w:b/>
          <w:bCs/>
        </w:rPr>
      </w:pPr>
      <w:r>
        <w:rPr>
          <w:b/>
          <w:bCs/>
        </w:rPr>
        <w:br w:type="page"/>
      </w:r>
      <w:r w:rsidR="00704B43">
        <w:rPr>
          <w:b/>
          <w:bCs/>
        </w:rPr>
        <w:lastRenderedPageBreak/>
        <w:t xml:space="preserve">Top </w:t>
      </w:r>
      <w:r>
        <w:rPr>
          <w:b/>
          <w:bCs/>
        </w:rPr>
        <w:t>E</w:t>
      </w:r>
      <w:r w:rsidR="00704B43">
        <w:rPr>
          <w:b/>
          <w:bCs/>
        </w:rPr>
        <w:t>nergy companies positioned for 2026:</w:t>
      </w:r>
    </w:p>
    <w:tbl>
      <w:tblPr>
        <w:tblStyle w:val="ListTable4-Accent4"/>
        <w:tblW w:w="0" w:type="auto"/>
        <w:tblLook w:val="04A0" w:firstRow="1" w:lastRow="0" w:firstColumn="1" w:lastColumn="0" w:noHBand="0" w:noVBand="1"/>
      </w:tblPr>
      <w:tblGrid>
        <w:gridCol w:w="744"/>
        <w:gridCol w:w="873"/>
        <w:gridCol w:w="2031"/>
        <w:gridCol w:w="1272"/>
        <w:gridCol w:w="1169"/>
        <w:gridCol w:w="1504"/>
        <w:gridCol w:w="1018"/>
        <w:gridCol w:w="1099"/>
      </w:tblGrid>
      <w:tr w:rsidR="0064009C" w:rsidRPr="00B35BE4" w14:paraId="58D24E53" w14:textId="77777777" w:rsidTr="00AC2D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1EECD1" w14:textId="77777777" w:rsidR="00136D2B" w:rsidRPr="00B35BE4" w:rsidRDefault="00136D2B" w:rsidP="00D95927">
            <w:pPr>
              <w:pStyle w:val="p1"/>
              <w:jc w:val="center"/>
              <w:rPr>
                <w:rFonts w:asciiTheme="minorHAnsi" w:hAnsiTheme="minorHAnsi"/>
                <w:sz w:val="21"/>
                <w:szCs w:val="21"/>
              </w:rPr>
            </w:pPr>
            <w:r w:rsidRPr="00B35BE4">
              <w:rPr>
                <w:rFonts w:asciiTheme="minorHAnsi" w:hAnsiTheme="minorHAnsi"/>
                <w:b w:val="0"/>
                <w:bCs w:val="0"/>
                <w:sz w:val="21"/>
                <w:szCs w:val="21"/>
              </w:rPr>
              <w:t>Rank</w:t>
            </w:r>
            <w:r w:rsidRPr="00D95927">
              <w:rPr>
                <w:rFonts w:asciiTheme="minorHAnsi" w:hAnsiTheme="minorHAnsi"/>
                <w:b w:val="0"/>
                <w:bCs w:val="0"/>
                <w:sz w:val="21"/>
                <w:szCs w:val="21"/>
                <w:vertAlign w:val="superscript"/>
              </w:rPr>
              <w:t>1</w:t>
            </w:r>
          </w:p>
        </w:tc>
        <w:tc>
          <w:tcPr>
            <w:tcW w:w="0" w:type="auto"/>
            <w:hideMark/>
          </w:tcPr>
          <w:p w14:paraId="466FD94E"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1"/>
                <w:szCs w:val="21"/>
              </w:rPr>
              <w:t>Ticker</w:t>
            </w:r>
          </w:p>
        </w:tc>
        <w:tc>
          <w:tcPr>
            <w:tcW w:w="0" w:type="auto"/>
            <w:hideMark/>
          </w:tcPr>
          <w:p w14:paraId="4BF054D6"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1"/>
                <w:szCs w:val="21"/>
              </w:rPr>
              <w:t>Company</w:t>
            </w:r>
          </w:p>
        </w:tc>
        <w:tc>
          <w:tcPr>
            <w:tcW w:w="0" w:type="auto"/>
            <w:hideMark/>
          </w:tcPr>
          <w:p w14:paraId="5DF364DD"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0"/>
                <w:szCs w:val="20"/>
              </w:rPr>
              <w:t>Top 5 (Return)</w:t>
            </w:r>
          </w:p>
        </w:tc>
        <w:tc>
          <w:tcPr>
            <w:tcW w:w="0" w:type="auto"/>
            <w:hideMark/>
          </w:tcPr>
          <w:p w14:paraId="5D716B4B"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632E037F"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0"/>
                <w:szCs w:val="20"/>
              </w:rPr>
              <w:t>Analyst 1-yr target</w:t>
            </w:r>
          </w:p>
        </w:tc>
        <w:tc>
          <w:tcPr>
            <w:tcW w:w="0" w:type="auto"/>
            <w:hideMark/>
          </w:tcPr>
          <w:p w14:paraId="77490483"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1-yr target</w:t>
            </w:r>
          </w:p>
        </w:tc>
        <w:tc>
          <w:tcPr>
            <w:tcW w:w="0" w:type="auto"/>
            <w:hideMark/>
          </w:tcPr>
          <w:p w14:paraId="473F0C93" w14:textId="77777777" w:rsidR="00136D2B" w:rsidRPr="00B35BE4" w:rsidRDefault="00136D2B" w:rsidP="00D9592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Pr>
                <w:rFonts w:asciiTheme="minorHAnsi" w:hAnsiTheme="minorHAnsi"/>
                <w:b w:val="0"/>
                <w:bCs w:val="0"/>
                <w:sz w:val="20"/>
                <w:szCs w:val="20"/>
              </w:rPr>
              <w:br/>
              <w:t>(Thesis)</w:t>
            </w:r>
          </w:p>
        </w:tc>
      </w:tr>
      <w:tr w:rsidR="0064009C" w:rsidRPr="00B35BE4" w14:paraId="2F0F3F59" w14:textId="77777777" w:rsidTr="00A447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13A7B6" w14:textId="20EC4F54" w:rsidR="00136D2B" w:rsidRDefault="00136D2B">
            <w:pPr>
              <w:pStyle w:val="p1"/>
              <w:rPr>
                <w:rFonts w:asciiTheme="minorHAnsi" w:hAnsiTheme="minorHAnsi"/>
                <w:sz w:val="21"/>
                <w:szCs w:val="21"/>
              </w:rPr>
            </w:pPr>
            <w:r>
              <w:rPr>
                <w:rFonts w:asciiTheme="minorHAnsi" w:hAnsiTheme="minorHAnsi"/>
                <w:sz w:val="21"/>
                <w:szCs w:val="21"/>
              </w:rPr>
              <w:t>1</w:t>
            </w:r>
          </w:p>
        </w:tc>
        <w:tc>
          <w:tcPr>
            <w:tcW w:w="0" w:type="auto"/>
            <w:shd w:val="clear" w:color="auto" w:fill="B3E5A1" w:themeFill="accent6" w:themeFillTint="66"/>
          </w:tcPr>
          <w:p w14:paraId="6815B79F" w14:textId="77777777" w:rsidR="00136D2B" w:rsidRPr="00A4476C"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OKLO</w:t>
            </w:r>
          </w:p>
        </w:tc>
        <w:tc>
          <w:tcPr>
            <w:tcW w:w="0" w:type="auto"/>
          </w:tcPr>
          <w:p w14:paraId="24324C0B" w14:textId="77777777" w:rsidR="00136D2B"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Oklo, Inc.</w:t>
            </w:r>
          </w:p>
        </w:tc>
        <w:tc>
          <w:tcPr>
            <w:tcW w:w="0" w:type="auto"/>
          </w:tcPr>
          <w:p w14:paraId="389C1072" w14:textId="77777777" w:rsidR="00136D2B" w:rsidRDefault="00136D2B"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0" w:type="auto"/>
          </w:tcPr>
          <w:p w14:paraId="562FC612"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0.91</w:t>
            </w:r>
          </w:p>
        </w:tc>
        <w:tc>
          <w:tcPr>
            <w:tcW w:w="0" w:type="auto"/>
          </w:tcPr>
          <w:p w14:paraId="01CE8685"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$90-$175</w:t>
            </w:r>
          </w:p>
        </w:tc>
        <w:tc>
          <w:tcPr>
            <w:tcW w:w="0" w:type="auto"/>
          </w:tcPr>
          <w:p w14:paraId="6B0B57F5"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$125</w:t>
            </w:r>
          </w:p>
        </w:tc>
        <w:tc>
          <w:tcPr>
            <w:tcW w:w="0" w:type="auto"/>
          </w:tcPr>
          <w:p w14:paraId="2D3A4253"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60.7%</w:t>
            </w:r>
          </w:p>
        </w:tc>
      </w:tr>
      <w:tr w:rsidR="0064009C" w:rsidRPr="00B35BE4" w14:paraId="7D349260" w14:textId="77777777" w:rsidTr="00D32950">
        <w:tc>
          <w:tcPr>
            <w:cnfStyle w:val="001000000000" w:firstRow="0" w:lastRow="0" w:firstColumn="1" w:lastColumn="0" w:oddVBand="0" w:evenVBand="0" w:oddHBand="0" w:evenHBand="0" w:firstRowFirstColumn="0" w:firstRowLastColumn="0" w:lastRowFirstColumn="0" w:lastRowLastColumn="0"/>
            <w:tcW w:w="0" w:type="auto"/>
          </w:tcPr>
          <w:p w14:paraId="76FE00F6" w14:textId="77777777" w:rsidR="00136D2B" w:rsidRPr="00B35BE4" w:rsidRDefault="00136D2B">
            <w:pPr>
              <w:pStyle w:val="p1"/>
              <w:rPr>
                <w:rFonts w:asciiTheme="minorHAnsi" w:hAnsiTheme="minorHAnsi"/>
                <w:sz w:val="21"/>
                <w:szCs w:val="21"/>
              </w:rPr>
            </w:pPr>
            <w:r>
              <w:rPr>
                <w:rFonts w:asciiTheme="minorHAnsi" w:hAnsiTheme="minorHAnsi"/>
                <w:sz w:val="21"/>
                <w:szCs w:val="21"/>
              </w:rPr>
              <w:t>2</w:t>
            </w:r>
          </w:p>
        </w:tc>
        <w:tc>
          <w:tcPr>
            <w:tcW w:w="0" w:type="auto"/>
            <w:shd w:val="clear" w:color="auto" w:fill="B3E5A1" w:themeFill="accent6" w:themeFillTint="66"/>
          </w:tcPr>
          <w:p w14:paraId="0977D016" w14:textId="2BE170C8" w:rsidR="00136D2B" w:rsidRPr="00A4476C"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EOG</w:t>
            </w:r>
            <w:r w:rsidR="00A4476C" w:rsidRPr="00A4476C">
              <w:rPr>
                <w:rFonts w:asciiTheme="minorHAnsi" w:hAnsiTheme="minorHAnsi"/>
                <w:sz w:val="21"/>
                <w:szCs w:val="21"/>
                <w:vertAlign w:val="superscript"/>
              </w:rPr>
              <w:t>3</w:t>
            </w:r>
            <w:r w:rsidR="00603DD3">
              <w:rPr>
                <w:rFonts w:asciiTheme="minorHAnsi" w:hAnsiTheme="minorHAnsi"/>
                <w:sz w:val="21"/>
                <w:szCs w:val="21"/>
                <w:vertAlign w:val="superscript"/>
              </w:rPr>
              <w:t>,4</w:t>
            </w:r>
          </w:p>
        </w:tc>
        <w:tc>
          <w:tcPr>
            <w:tcW w:w="0" w:type="auto"/>
          </w:tcPr>
          <w:p w14:paraId="54769310" w14:textId="52F6DE7C" w:rsidR="00136D2B" w:rsidRPr="00B35BE4"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EOG Resources</w:t>
            </w:r>
          </w:p>
        </w:tc>
        <w:tc>
          <w:tcPr>
            <w:tcW w:w="0" w:type="auto"/>
          </w:tcPr>
          <w:p w14:paraId="63F4BA0E" w14:textId="77777777" w:rsidR="00136D2B" w:rsidRPr="00B35BE4" w:rsidRDefault="00136D2B"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0" w:type="auto"/>
          </w:tcPr>
          <w:p w14:paraId="3E92A4D8"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0.85</w:t>
            </w:r>
          </w:p>
        </w:tc>
        <w:tc>
          <w:tcPr>
            <w:tcW w:w="0" w:type="auto"/>
          </w:tcPr>
          <w:p w14:paraId="1ACAD2AE"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$114-$161</w:t>
            </w:r>
          </w:p>
        </w:tc>
        <w:tc>
          <w:tcPr>
            <w:tcW w:w="0" w:type="auto"/>
            <w:shd w:val="clear" w:color="auto" w:fill="B3E5A1" w:themeFill="accent6" w:themeFillTint="66"/>
          </w:tcPr>
          <w:p w14:paraId="72011960"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$140</w:t>
            </w:r>
          </w:p>
        </w:tc>
        <w:tc>
          <w:tcPr>
            <w:tcW w:w="0" w:type="auto"/>
          </w:tcPr>
          <w:p w14:paraId="2F37729C"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30.0%</w:t>
            </w:r>
          </w:p>
        </w:tc>
      </w:tr>
      <w:tr w:rsidR="0064009C" w:rsidRPr="00B35BE4" w14:paraId="4B9A2597" w14:textId="77777777" w:rsidTr="00D32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E0668E" w14:textId="77777777" w:rsidR="00136D2B" w:rsidRPr="00B35BE4" w:rsidRDefault="00136D2B">
            <w:pPr>
              <w:pStyle w:val="p1"/>
              <w:rPr>
                <w:rFonts w:asciiTheme="minorHAnsi" w:hAnsiTheme="minorHAnsi"/>
                <w:b w:val="0"/>
                <w:bCs w:val="0"/>
                <w:sz w:val="21"/>
                <w:szCs w:val="21"/>
              </w:rPr>
            </w:pPr>
            <w:r>
              <w:rPr>
                <w:rFonts w:asciiTheme="minorHAnsi" w:hAnsiTheme="minorHAnsi"/>
                <w:sz w:val="21"/>
                <w:szCs w:val="21"/>
              </w:rPr>
              <w:t>3</w:t>
            </w:r>
          </w:p>
        </w:tc>
        <w:tc>
          <w:tcPr>
            <w:tcW w:w="0" w:type="auto"/>
            <w:shd w:val="clear" w:color="auto" w:fill="B3E5A1" w:themeFill="accent6" w:themeFillTint="66"/>
            <w:hideMark/>
          </w:tcPr>
          <w:p w14:paraId="0FCB5531" w14:textId="7110F5F3" w:rsidR="00136D2B" w:rsidRPr="00A4476C"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LNG</w:t>
            </w:r>
          </w:p>
        </w:tc>
        <w:tc>
          <w:tcPr>
            <w:tcW w:w="0" w:type="auto"/>
            <w:hideMark/>
          </w:tcPr>
          <w:p w14:paraId="068FF918" w14:textId="71843614" w:rsidR="00136D2B" w:rsidRPr="00B35BE4"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Cheniere Energy</w:t>
            </w:r>
          </w:p>
        </w:tc>
        <w:tc>
          <w:tcPr>
            <w:tcW w:w="0" w:type="auto"/>
            <w:hideMark/>
          </w:tcPr>
          <w:p w14:paraId="5C53BB59" w14:textId="77777777" w:rsidR="00136D2B" w:rsidRPr="00B35BE4" w:rsidRDefault="00136D2B"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0" w:type="auto"/>
            <w:hideMark/>
          </w:tcPr>
          <w:p w14:paraId="134736ED"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0.82</w:t>
            </w:r>
          </w:p>
        </w:tc>
        <w:tc>
          <w:tcPr>
            <w:tcW w:w="0" w:type="auto"/>
            <w:hideMark/>
          </w:tcPr>
          <w:p w14:paraId="2E12E3A9"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$258-290</w:t>
            </w:r>
          </w:p>
        </w:tc>
        <w:tc>
          <w:tcPr>
            <w:tcW w:w="0" w:type="auto"/>
            <w:shd w:val="clear" w:color="auto" w:fill="B3E5A1" w:themeFill="accent6" w:themeFillTint="66"/>
            <w:hideMark/>
          </w:tcPr>
          <w:p w14:paraId="25B4A1C3"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$272</w:t>
            </w:r>
          </w:p>
        </w:tc>
        <w:tc>
          <w:tcPr>
            <w:tcW w:w="0" w:type="auto"/>
            <w:hideMark/>
          </w:tcPr>
          <w:p w14:paraId="1DAE87BD"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36.7%</w:t>
            </w:r>
          </w:p>
        </w:tc>
      </w:tr>
      <w:tr w:rsidR="0064009C" w:rsidRPr="00B35BE4" w14:paraId="2E6D1761" w14:textId="77777777" w:rsidTr="00D32950">
        <w:tc>
          <w:tcPr>
            <w:cnfStyle w:val="001000000000" w:firstRow="0" w:lastRow="0" w:firstColumn="1" w:lastColumn="0" w:oddVBand="0" w:evenVBand="0" w:oddHBand="0" w:evenHBand="0" w:firstRowFirstColumn="0" w:firstRowLastColumn="0" w:lastRowFirstColumn="0" w:lastRowLastColumn="0"/>
            <w:tcW w:w="0" w:type="auto"/>
          </w:tcPr>
          <w:p w14:paraId="73A0FA14" w14:textId="16DD1F17" w:rsidR="00136D2B" w:rsidRDefault="00A4476C">
            <w:pPr>
              <w:pStyle w:val="p1"/>
              <w:rPr>
                <w:rFonts w:asciiTheme="minorHAnsi" w:hAnsiTheme="minorHAnsi"/>
                <w:sz w:val="21"/>
                <w:szCs w:val="21"/>
              </w:rPr>
            </w:pPr>
            <w:r>
              <w:rPr>
                <w:rFonts w:asciiTheme="minorHAnsi" w:hAnsiTheme="minorHAnsi"/>
                <w:sz w:val="21"/>
                <w:szCs w:val="21"/>
              </w:rPr>
              <w:t>4</w:t>
            </w:r>
          </w:p>
        </w:tc>
        <w:tc>
          <w:tcPr>
            <w:tcW w:w="0" w:type="auto"/>
            <w:shd w:val="clear" w:color="auto" w:fill="B3E5A1" w:themeFill="accent6" w:themeFillTint="66"/>
          </w:tcPr>
          <w:p w14:paraId="01A6C482" w14:textId="77777777" w:rsidR="00136D2B" w:rsidRPr="00A4476C"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VG</w:t>
            </w:r>
          </w:p>
        </w:tc>
        <w:tc>
          <w:tcPr>
            <w:tcW w:w="0" w:type="auto"/>
          </w:tcPr>
          <w:p w14:paraId="75CD70A3" w14:textId="77777777" w:rsidR="00136D2B" w:rsidRPr="00B35BE4"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Venture  Global, Inc.</w:t>
            </w:r>
          </w:p>
        </w:tc>
        <w:tc>
          <w:tcPr>
            <w:tcW w:w="0" w:type="auto"/>
          </w:tcPr>
          <w:p w14:paraId="65670D02" w14:textId="77777777" w:rsidR="00136D2B" w:rsidRDefault="00136D2B"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0" w:type="auto"/>
          </w:tcPr>
          <w:p w14:paraId="3D6AEB68" w14:textId="77777777" w:rsidR="00136D2B"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0.80</w:t>
            </w:r>
          </w:p>
        </w:tc>
        <w:tc>
          <w:tcPr>
            <w:tcW w:w="0" w:type="auto"/>
          </w:tcPr>
          <w:p w14:paraId="49D5BAEA"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$8-$18</w:t>
            </w:r>
          </w:p>
        </w:tc>
        <w:tc>
          <w:tcPr>
            <w:tcW w:w="0" w:type="auto"/>
            <w:shd w:val="clear" w:color="auto" w:fill="B3E5A1" w:themeFill="accent6" w:themeFillTint="66"/>
          </w:tcPr>
          <w:p w14:paraId="27707D73" w14:textId="77777777" w:rsidR="00136D2B"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$14</w:t>
            </w:r>
          </w:p>
        </w:tc>
        <w:tc>
          <w:tcPr>
            <w:tcW w:w="0" w:type="auto"/>
          </w:tcPr>
          <w:p w14:paraId="21896179" w14:textId="77777777" w:rsidR="00136D2B"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91.8%</w:t>
            </w:r>
          </w:p>
        </w:tc>
      </w:tr>
      <w:tr w:rsidR="0064009C" w:rsidRPr="00B35BE4" w14:paraId="3001F441" w14:textId="77777777" w:rsidTr="007039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A26B576" w14:textId="720A3BF1" w:rsidR="00136D2B" w:rsidRDefault="00A4476C">
            <w:pPr>
              <w:pStyle w:val="p1"/>
              <w:rPr>
                <w:rFonts w:asciiTheme="minorHAnsi" w:hAnsiTheme="minorHAnsi"/>
                <w:sz w:val="21"/>
                <w:szCs w:val="21"/>
              </w:rPr>
            </w:pPr>
            <w:r>
              <w:rPr>
                <w:rFonts w:asciiTheme="minorHAnsi" w:hAnsiTheme="minorHAnsi"/>
                <w:sz w:val="21"/>
                <w:szCs w:val="21"/>
              </w:rPr>
              <w:t>5</w:t>
            </w:r>
          </w:p>
        </w:tc>
        <w:tc>
          <w:tcPr>
            <w:tcW w:w="0" w:type="auto"/>
            <w:shd w:val="clear" w:color="auto" w:fill="B3E5A1" w:themeFill="accent6" w:themeFillTint="66"/>
          </w:tcPr>
          <w:p w14:paraId="2A0C45D0" w14:textId="0AB0572F" w:rsidR="00136D2B" w:rsidRPr="00A4476C"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ET</w:t>
            </w:r>
            <w:r w:rsidR="00B032D2" w:rsidRPr="00B032D2">
              <w:rPr>
                <w:rFonts w:asciiTheme="minorHAnsi" w:hAnsiTheme="minorHAnsi"/>
                <w:sz w:val="21"/>
                <w:szCs w:val="21"/>
                <w:vertAlign w:val="superscript"/>
              </w:rPr>
              <w:t>3,</w:t>
            </w:r>
            <w:r w:rsidR="00603DD3" w:rsidRPr="00603DD3">
              <w:rPr>
                <w:rFonts w:asciiTheme="minorHAnsi" w:hAnsiTheme="minorHAnsi"/>
                <w:sz w:val="21"/>
                <w:szCs w:val="21"/>
                <w:vertAlign w:val="superscript"/>
              </w:rPr>
              <w:t>4</w:t>
            </w:r>
          </w:p>
        </w:tc>
        <w:tc>
          <w:tcPr>
            <w:tcW w:w="0" w:type="auto"/>
          </w:tcPr>
          <w:p w14:paraId="33DEFD27" w14:textId="77777777" w:rsidR="00136D2B"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Energy Transfer</w:t>
            </w:r>
          </w:p>
        </w:tc>
        <w:tc>
          <w:tcPr>
            <w:tcW w:w="0" w:type="auto"/>
          </w:tcPr>
          <w:p w14:paraId="0CA28AAD" w14:textId="77777777" w:rsidR="00136D2B" w:rsidRDefault="00136D2B"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Y</w:t>
            </w:r>
          </w:p>
        </w:tc>
        <w:tc>
          <w:tcPr>
            <w:tcW w:w="0" w:type="auto"/>
          </w:tcPr>
          <w:p w14:paraId="52AEC997"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0.78</w:t>
            </w:r>
          </w:p>
        </w:tc>
        <w:tc>
          <w:tcPr>
            <w:tcW w:w="0" w:type="auto"/>
          </w:tcPr>
          <w:p w14:paraId="16788F48"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$17-$25</w:t>
            </w:r>
          </w:p>
        </w:tc>
        <w:tc>
          <w:tcPr>
            <w:tcW w:w="0" w:type="auto"/>
          </w:tcPr>
          <w:p w14:paraId="2A1D8670"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$22</w:t>
            </w:r>
          </w:p>
        </w:tc>
        <w:tc>
          <w:tcPr>
            <w:tcW w:w="0" w:type="auto"/>
          </w:tcPr>
          <w:p w14:paraId="49BB42E4" w14:textId="77777777" w:rsidR="00136D2B"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32.6%</w:t>
            </w:r>
          </w:p>
        </w:tc>
      </w:tr>
      <w:tr w:rsidR="0064009C" w:rsidRPr="00B35BE4" w14:paraId="29954A5E" w14:textId="77777777" w:rsidTr="00EE0667">
        <w:tc>
          <w:tcPr>
            <w:cnfStyle w:val="001000000000" w:firstRow="0" w:lastRow="0" w:firstColumn="1" w:lastColumn="0" w:oddVBand="0" w:evenVBand="0" w:oddHBand="0" w:evenHBand="0" w:firstRowFirstColumn="0" w:firstRowLastColumn="0" w:lastRowFirstColumn="0" w:lastRowLastColumn="0"/>
            <w:tcW w:w="0" w:type="auto"/>
            <w:hideMark/>
          </w:tcPr>
          <w:p w14:paraId="560429C5" w14:textId="77777777" w:rsidR="00136D2B" w:rsidRPr="00B35BE4" w:rsidRDefault="00136D2B">
            <w:pPr>
              <w:pStyle w:val="p1"/>
              <w:rPr>
                <w:rFonts w:asciiTheme="minorHAnsi" w:hAnsiTheme="minorHAnsi"/>
                <w:sz w:val="21"/>
                <w:szCs w:val="21"/>
              </w:rPr>
            </w:pPr>
            <w:r>
              <w:rPr>
                <w:rFonts w:asciiTheme="minorHAnsi" w:hAnsiTheme="minorHAnsi"/>
                <w:sz w:val="21"/>
                <w:szCs w:val="21"/>
              </w:rPr>
              <w:t>6</w:t>
            </w:r>
          </w:p>
        </w:tc>
        <w:tc>
          <w:tcPr>
            <w:tcW w:w="0" w:type="auto"/>
            <w:shd w:val="clear" w:color="auto" w:fill="B3E5A1" w:themeFill="accent6" w:themeFillTint="66"/>
            <w:hideMark/>
          </w:tcPr>
          <w:p w14:paraId="78C34155" w14:textId="618CD93F" w:rsidR="00136D2B" w:rsidRPr="00A4476C"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XOM</w:t>
            </w:r>
            <w:r w:rsidR="00A4476C" w:rsidRPr="00A4476C">
              <w:rPr>
                <w:rFonts w:asciiTheme="minorHAnsi" w:hAnsiTheme="minorHAnsi"/>
                <w:sz w:val="21"/>
                <w:szCs w:val="21"/>
                <w:vertAlign w:val="superscript"/>
              </w:rPr>
              <w:t>3</w:t>
            </w:r>
            <w:r w:rsidR="004A3C89">
              <w:rPr>
                <w:rFonts w:asciiTheme="minorHAnsi" w:hAnsiTheme="minorHAnsi"/>
                <w:sz w:val="21"/>
                <w:szCs w:val="21"/>
                <w:vertAlign w:val="superscript"/>
              </w:rPr>
              <w:t>,4</w:t>
            </w:r>
          </w:p>
        </w:tc>
        <w:tc>
          <w:tcPr>
            <w:tcW w:w="0" w:type="auto"/>
            <w:hideMark/>
          </w:tcPr>
          <w:p w14:paraId="75AE40C1" w14:textId="3842B0C5" w:rsidR="00136D2B" w:rsidRPr="00B35BE4"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Exxon Mobil</w:t>
            </w:r>
          </w:p>
        </w:tc>
        <w:tc>
          <w:tcPr>
            <w:tcW w:w="0" w:type="auto"/>
            <w:hideMark/>
          </w:tcPr>
          <w:p w14:paraId="38F71517" w14:textId="77777777" w:rsidR="00136D2B" w:rsidRPr="00B35BE4" w:rsidRDefault="00136D2B"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N</w:t>
            </w:r>
          </w:p>
        </w:tc>
        <w:tc>
          <w:tcPr>
            <w:tcW w:w="0" w:type="auto"/>
            <w:hideMark/>
          </w:tcPr>
          <w:p w14:paraId="79F0D943"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0.90</w:t>
            </w:r>
          </w:p>
        </w:tc>
        <w:tc>
          <w:tcPr>
            <w:tcW w:w="0" w:type="auto"/>
            <w:hideMark/>
          </w:tcPr>
          <w:p w14:paraId="27CBCB3D"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$114-$158</w:t>
            </w:r>
          </w:p>
        </w:tc>
        <w:tc>
          <w:tcPr>
            <w:tcW w:w="0" w:type="auto"/>
            <w:shd w:val="clear" w:color="auto" w:fill="B3E5A1" w:themeFill="accent6" w:themeFillTint="66"/>
            <w:hideMark/>
          </w:tcPr>
          <w:p w14:paraId="5040AC37"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$136</w:t>
            </w:r>
          </w:p>
        </w:tc>
        <w:tc>
          <w:tcPr>
            <w:tcW w:w="0" w:type="auto"/>
            <w:hideMark/>
          </w:tcPr>
          <w:p w14:paraId="5C1B97A4"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10.5%</w:t>
            </w:r>
          </w:p>
        </w:tc>
      </w:tr>
      <w:tr w:rsidR="0064009C" w:rsidRPr="00B35BE4" w14:paraId="032DFD49"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52BF2E" w14:textId="77777777" w:rsidR="00136D2B" w:rsidRPr="00B35BE4" w:rsidRDefault="00136D2B">
            <w:pPr>
              <w:pStyle w:val="p1"/>
              <w:rPr>
                <w:rFonts w:asciiTheme="minorHAnsi" w:hAnsiTheme="minorHAnsi"/>
                <w:sz w:val="21"/>
                <w:szCs w:val="21"/>
              </w:rPr>
            </w:pPr>
            <w:r>
              <w:rPr>
                <w:rFonts w:asciiTheme="minorHAnsi" w:hAnsiTheme="minorHAnsi"/>
                <w:sz w:val="21"/>
                <w:szCs w:val="21"/>
              </w:rPr>
              <w:t>7</w:t>
            </w:r>
          </w:p>
        </w:tc>
        <w:tc>
          <w:tcPr>
            <w:tcW w:w="0" w:type="auto"/>
            <w:shd w:val="clear" w:color="auto" w:fill="B3E5A1" w:themeFill="accent6" w:themeFillTint="66"/>
            <w:hideMark/>
          </w:tcPr>
          <w:p w14:paraId="047D290C" w14:textId="4008DFCA" w:rsidR="00136D2B" w:rsidRPr="00A4476C"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CVX</w:t>
            </w:r>
            <w:r w:rsidR="00A4476C" w:rsidRPr="00A4476C">
              <w:rPr>
                <w:rFonts w:asciiTheme="minorHAnsi" w:hAnsiTheme="minorHAnsi"/>
                <w:sz w:val="21"/>
                <w:szCs w:val="21"/>
                <w:vertAlign w:val="superscript"/>
              </w:rPr>
              <w:t>3</w:t>
            </w:r>
            <w:r w:rsidR="006F1B6A">
              <w:rPr>
                <w:rFonts w:asciiTheme="minorHAnsi" w:hAnsiTheme="minorHAnsi"/>
                <w:sz w:val="21"/>
                <w:szCs w:val="21"/>
                <w:vertAlign w:val="superscript"/>
              </w:rPr>
              <w:t>,4</w:t>
            </w:r>
          </w:p>
        </w:tc>
        <w:tc>
          <w:tcPr>
            <w:tcW w:w="0" w:type="auto"/>
            <w:hideMark/>
          </w:tcPr>
          <w:p w14:paraId="509C62F6" w14:textId="77777777" w:rsidR="00136D2B" w:rsidRPr="00B35BE4"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Chevron</w:t>
            </w:r>
          </w:p>
        </w:tc>
        <w:tc>
          <w:tcPr>
            <w:tcW w:w="0" w:type="auto"/>
            <w:hideMark/>
          </w:tcPr>
          <w:p w14:paraId="1A8D5AA6" w14:textId="77777777" w:rsidR="00136D2B" w:rsidRPr="00B35BE4" w:rsidRDefault="00136D2B"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hideMark/>
          </w:tcPr>
          <w:p w14:paraId="3BDB5FA2"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0.89</w:t>
            </w:r>
          </w:p>
        </w:tc>
        <w:tc>
          <w:tcPr>
            <w:tcW w:w="0" w:type="auto"/>
            <w:hideMark/>
          </w:tcPr>
          <w:p w14:paraId="69F08EB5"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$158-$206</w:t>
            </w:r>
          </w:p>
        </w:tc>
        <w:tc>
          <w:tcPr>
            <w:tcW w:w="0" w:type="auto"/>
            <w:shd w:val="clear" w:color="auto" w:fill="B3E5A1" w:themeFill="accent6" w:themeFillTint="66"/>
            <w:hideMark/>
          </w:tcPr>
          <w:p w14:paraId="4C9FB32F"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$179</w:t>
            </w:r>
          </w:p>
        </w:tc>
        <w:tc>
          <w:tcPr>
            <w:tcW w:w="0" w:type="auto"/>
            <w:hideMark/>
          </w:tcPr>
          <w:p w14:paraId="25A9EE76"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14.8%</w:t>
            </w:r>
          </w:p>
        </w:tc>
      </w:tr>
      <w:tr w:rsidR="0064009C" w:rsidRPr="00B35BE4" w14:paraId="3A845C77" w14:textId="77777777" w:rsidTr="00EE0667">
        <w:tc>
          <w:tcPr>
            <w:cnfStyle w:val="001000000000" w:firstRow="0" w:lastRow="0" w:firstColumn="1" w:lastColumn="0" w:oddVBand="0" w:evenVBand="0" w:oddHBand="0" w:evenHBand="0" w:firstRowFirstColumn="0" w:firstRowLastColumn="0" w:lastRowFirstColumn="0" w:lastRowLastColumn="0"/>
            <w:tcW w:w="0" w:type="auto"/>
            <w:hideMark/>
          </w:tcPr>
          <w:p w14:paraId="165A99E3" w14:textId="77777777" w:rsidR="00136D2B" w:rsidRPr="00B35BE4" w:rsidRDefault="00136D2B">
            <w:pPr>
              <w:pStyle w:val="p1"/>
              <w:rPr>
                <w:rFonts w:asciiTheme="minorHAnsi" w:hAnsiTheme="minorHAnsi"/>
                <w:sz w:val="21"/>
                <w:szCs w:val="21"/>
              </w:rPr>
            </w:pPr>
            <w:r>
              <w:rPr>
                <w:rFonts w:asciiTheme="minorHAnsi" w:hAnsiTheme="minorHAnsi"/>
                <w:sz w:val="21"/>
                <w:szCs w:val="21"/>
              </w:rPr>
              <w:t>8</w:t>
            </w:r>
          </w:p>
        </w:tc>
        <w:tc>
          <w:tcPr>
            <w:tcW w:w="0" w:type="auto"/>
            <w:shd w:val="clear" w:color="auto" w:fill="B3E5A1" w:themeFill="accent6" w:themeFillTint="66"/>
            <w:hideMark/>
          </w:tcPr>
          <w:p w14:paraId="2CCE4E11" w14:textId="02B1B067" w:rsidR="00136D2B" w:rsidRPr="00A4476C"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COP</w:t>
            </w:r>
            <w:r w:rsidR="00A4476C" w:rsidRPr="00A4476C">
              <w:rPr>
                <w:rFonts w:asciiTheme="minorHAnsi" w:hAnsiTheme="minorHAnsi"/>
                <w:sz w:val="21"/>
                <w:szCs w:val="21"/>
                <w:vertAlign w:val="superscript"/>
              </w:rPr>
              <w:t>3</w:t>
            </w:r>
            <w:r w:rsidR="006F1B6A">
              <w:rPr>
                <w:rFonts w:asciiTheme="minorHAnsi" w:hAnsiTheme="minorHAnsi"/>
                <w:sz w:val="21"/>
                <w:szCs w:val="21"/>
                <w:vertAlign w:val="superscript"/>
              </w:rPr>
              <w:t>,4</w:t>
            </w:r>
          </w:p>
        </w:tc>
        <w:tc>
          <w:tcPr>
            <w:tcW w:w="0" w:type="auto"/>
            <w:hideMark/>
          </w:tcPr>
          <w:p w14:paraId="0195C04A" w14:textId="77777777" w:rsidR="00136D2B" w:rsidRPr="00B35BE4"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ConocoPhillips</w:t>
            </w:r>
          </w:p>
        </w:tc>
        <w:tc>
          <w:tcPr>
            <w:tcW w:w="0" w:type="auto"/>
            <w:hideMark/>
          </w:tcPr>
          <w:p w14:paraId="68FE8FC0" w14:textId="77777777" w:rsidR="00136D2B" w:rsidRPr="00B35BE4" w:rsidRDefault="00136D2B"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hideMark/>
          </w:tcPr>
          <w:p w14:paraId="08DDB3CA"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0.88</w:t>
            </w:r>
          </w:p>
        </w:tc>
        <w:tc>
          <w:tcPr>
            <w:tcW w:w="0" w:type="auto"/>
            <w:hideMark/>
          </w:tcPr>
          <w:p w14:paraId="3C46EEB3"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$100-$131</w:t>
            </w:r>
          </w:p>
        </w:tc>
        <w:tc>
          <w:tcPr>
            <w:tcW w:w="0" w:type="auto"/>
            <w:shd w:val="clear" w:color="auto" w:fill="B3E5A1" w:themeFill="accent6" w:themeFillTint="66"/>
            <w:hideMark/>
          </w:tcPr>
          <w:p w14:paraId="08402A37"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$115</w:t>
            </w:r>
          </w:p>
        </w:tc>
        <w:tc>
          <w:tcPr>
            <w:tcW w:w="0" w:type="auto"/>
            <w:hideMark/>
          </w:tcPr>
          <w:p w14:paraId="20A023A6"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18.9%</w:t>
            </w:r>
          </w:p>
        </w:tc>
      </w:tr>
      <w:tr w:rsidR="0064009C" w:rsidRPr="00B35BE4" w14:paraId="02F854CF" w14:textId="77777777" w:rsidTr="00D329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DC0DD0" w14:textId="622BC231" w:rsidR="00136D2B" w:rsidRPr="00B35BE4" w:rsidRDefault="00A4476C">
            <w:pPr>
              <w:pStyle w:val="p1"/>
              <w:rPr>
                <w:rFonts w:asciiTheme="minorHAnsi" w:hAnsiTheme="minorHAnsi"/>
                <w:sz w:val="21"/>
                <w:szCs w:val="21"/>
              </w:rPr>
            </w:pPr>
            <w:r>
              <w:rPr>
                <w:rFonts w:asciiTheme="minorHAnsi" w:hAnsiTheme="minorHAnsi"/>
                <w:sz w:val="21"/>
                <w:szCs w:val="21"/>
              </w:rPr>
              <w:t>9</w:t>
            </w:r>
          </w:p>
        </w:tc>
        <w:tc>
          <w:tcPr>
            <w:tcW w:w="0" w:type="auto"/>
            <w:shd w:val="clear" w:color="auto" w:fill="B3E5A1" w:themeFill="accent6" w:themeFillTint="66"/>
          </w:tcPr>
          <w:p w14:paraId="4F0A8A1A" w14:textId="4CEABA75" w:rsidR="00136D2B" w:rsidRPr="00A4476C"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OKE</w:t>
            </w:r>
            <w:r w:rsidR="009F1E43" w:rsidRPr="009F1E43">
              <w:rPr>
                <w:rFonts w:asciiTheme="minorHAnsi" w:hAnsiTheme="minorHAnsi"/>
                <w:sz w:val="21"/>
                <w:szCs w:val="21"/>
                <w:vertAlign w:val="superscript"/>
              </w:rPr>
              <w:t>3,</w:t>
            </w:r>
            <w:r w:rsidR="00603DD3" w:rsidRPr="00603DD3">
              <w:rPr>
                <w:rFonts w:asciiTheme="minorHAnsi" w:hAnsiTheme="minorHAnsi"/>
                <w:sz w:val="21"/>
                <w:szCs w:val="21"/>
                <w:vertAlign w:val="superscript"/>
              </w:rPr>
              <w:t>4</w:t>
            </w:r>
          </w:p>
        </w:tc>
        <w:tc>
          <w:tcPr>
            <w:tcW w:w="0" w:type="auto"/>
          </w:tcPr>
          <w:p w14:paraId="6260E15C" w14:textId="77777777" w:rsidR="00136D2B" w:rsidRPr="00B35BE4" w:rsidRDefault="00136D2B">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ONEOK, Inc</w:t>
            </w:r>
          </w:p>
        </w:tc>
        <w:tc>
          <w:tcPr>
            <w:tcW w:w="0" w:type="auto"/>
          </w:tcPr>
          <w:p w14:paraId="39B27611" w14:textId="77777777" w:rsidR="00136D2B" w:rsidRPr="00B35BE4" w:rsidRDefault="00136D2B"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0E683662"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0.87</w:t>
            </w:r>
          </w:p>
        </w:tc>
        <w:tc>
          <w:tcPr>
            <w:tcW w:w="0" w:type="auto"/>
          </w:tcPr>
          <w:p w14:paraId="4EFAF6A9"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$75-$110</w:t>
            </w:r>
          </w:p>
        </w:tc>
        <w:tc>
          <w:tcPr>
            <w:tcW w:w="0" w:type="auto"/>
            <w:shd w:val="clear" w:color="auto" w:fill="B3E5A1" w:themeFill="accent6" w:themeFillTint="66"/>
          </w:tcPr>
          <w:p w14:paraId="0CD59FEB" w14:textId="25CEFDB9" w:rsidR="00136D2B" w:rsidRPr="00E44156"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$90</w:t>
            </w:r>
          </w:p>
        </w:tc>
        <w:tc>
          <w:tcPr>
            <w:tcW w:w="0" w:type="auto"/>
          </w:tcPr>
          <w:p w14:paraId="7A64AAC6" w14:textId="77777777" w:rsidR="00136D2B" w:rsidRPr="00B35BE4" w:rsidRDefault="00136D2B"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21.4%</w:t>
            </w:r>
          </w:p>
        </w:tc>
      </w:tr>
      <w:tr w:rsidR="0064009C" w:rsidRPr="00B35BE4" w14:paraId="1FE98E11" w14:textId="77777777" w:rsidTr="00D32950">
        <w:tc>
          <w:tcPr>
            <w:cnfStyle w:val="001000000000" w:firstRow="0" w:lastRow="0" w:firstColumn="1" w:lastColumn="0" w:oddVBand="0" w:evenVBand="0" w:oddHBand="0" w:evenHBand="0" w:firstRowFirstColumn="0" w:firstRowLastColumn="0" w:lastRowFirstColumn="0" w:lastRowLastColumn="0"/>
            <w:tcW w:w="0" w:type="auto"/>
            <w:hideMark/>
          </w:tcPr>
          <w:p w14:paraId="0BDA4BD0" w14:textId="48FC3047" w:rsidR="00136D2B" w:rsidRPr="00B35BE4" w:rsidRDefault="00A4476C">
            <w:pPr>
              <w:pStyle w:val="p1"/>
              <w:rPr>
                <w:rFonts w:asciiTheme="minorHAnsi" w:hAnsiTheme="minorHAnsi"/>
                <w:sz w:val="21"/>
                <w:szCs w:val="21"/>
              </w:rPr>
            </w:pPr>
            <w:r>
              <w:rPr>
                <w:rFonts w:asciiTheme="minorHAnsi" w:hAnsiTheme="minorHAnsi"/>
                <w:sz w:val="21"/>
                <w:szCs w:val="21"/>
              </w:rPr>
              <w:t>10</w:t>
            </w:r>
          </w:p>
        </w:tc>
        <w:tc>
          <w:tcPr>
            <w:tcW w:w="0" w:type="auto"/>
            <w:hideMark/>
          </w:tcPr>
          <w:p w14:paraId="509B3066" w14:textId="02BA56C5" w:rsidR="00136D2B" w:rsidRPr="00A4476C"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A4476C">
              <w:rPr>
                <w:rFonts w:asciiTheme="minorHAnsi" w:hAnsiTheme="minorHAnsi"/>
                <w:sz w:val="21"/>
                <w:szCs w:val="21"/>
              </w:rPr>
              <w:t>WMB</w:t>
            </w:r>
            <w:r w:rsidR="00603DD3" w:rsidRPr="00603DD3">
              <w:rPr>
                <w:rFonts w:asciiTheme="minorHAnsi" w:hAnsiTheme="minorHAnsi"/>
                <w:sz w:val="21"/>
                <w:szCs w:val="21"/>
                <w:vertAlign w:val="superscript"/>
              </w:rPr>
              <w:t>3</w:t>
            </w:r>
            <w:r w:rsidR="004A3C89">
              <w:rPr>
                <w:rFonts w:asciiTheme="minorHAnsi" w:hAnsiTheme="minorHAnsi"/>
                <w:sz w:val="21"/>
                <w:szCs w:val="21"/>
                <w:vertAlign w:val="superscript"/>
              </w:rPr>
              <w:t>,4</w:t>
            </w:r>
          </w:p>
        </w:tc>
        <w:tc>
          <w:tcPr>
            <w:tcW w:w="0" w:type="auto"/>
            <w:hideMark/>
          </w:tcPr>
          <w:p w14:paraId="6C9C8E9C" w14:textId="5A74DDAC" w:rsidR="00136D2B" w:rsidRPr="00B35BE4" w:rsidRDefault="00136D2B">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Williams Companies</w:t>
            </w:r>
          </w:p>
        </w:tc>
        <w:tc>
          <w:tcPr>
            <w:tcW w:w="0" w:type="auto"/>
            <w:hideMark/>
          </w:tcPr>
          <w:p w14:paraId="4D17F839" w14:textId="77777777" w:rsidR="00136D2B" w:rsidRPr="00B35BE4" w:rsidRDefault="00136D2B"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hideMark/>
          </w:tcPr>
          <w:p w14:paraId="2B9A7ECC"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0.82</w:t>
            </w:r>
          </w:p>
        </w:tc>
        <w:tc>
          <w:tcPr>
            <w:tcW w:w="0" w:type="auto"/>
            <w:hideMark/>
          </w:tcPr>
          <w:p w14:paraId="60FF14A6"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B35BE4">
              <w:rPr>
                <w:rFonts w:asciiTheme="minorHAnsi" w:hAnsiTheme="minorHAnsi"/>
                <w:sz w:val="21"/>
                <w:szCs w:val="21"/>
              </w:rPr>
              <w:t>$</w:t>
            </w:r>
            <w:r>
              <w:rPr>
                <w:rFonts w:asciiTheme="minorHAnsi" w:hAnsiTheme="minorHAnsi"/>
                <w:sz w:val="21"/>
                <w:szCs w:val="21"/>
              </w:rPr>
              <w:t>65-$83</w:t>
            </w:r>
          </w:p>
        </w:tc>
        <w:tc>
          <w:tcPr>
            <w:tcW w:w="0" w:type="auto"/>
            <w:shd w:val="clear" w:color="auto" w:fill="B3E5A1" w:themeFill="accent6" w:themeFillTint="66"/>
            <w:hideMark/>
          </w:tcPr>
          <w:p w14:paraId="34C81B84" w14:textId="673E62EA" w:rsidR="00136D2B" w:rsidRPr="00E44156"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$73</w:t>
            </w:r>
          </w:p>
        </w:tc>
        <w:tc>
          <w:tcPr>
            <w:tcW w:w="0" w:type="auto"/>
            <w:hideMark/>
          </w:tcPr>
          <w:p w14:paraId="7BD4706A" w14:textId="77777777" w:rsidR="00136D2B" w:rsidRPr="00B35BE4" w:rsidRDefault="00136D2B"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20.4%</w:t>
            </w:r>
          </w:p>
        </w:tc>
      </w:tr>
      <w:tr w:rsidR="0064009C" w:rsidRPr="00B35BE4" w14:paraId="5D78A707"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7001F54" w14:textId="0F9FCAC9" w:rsidR="006F1B6A" w:rsidRDefault="006F1B6A">
            <w:pPr>
              <w:pStyle w:val="p1"/>
              <w:rPr>
                <w:rFonts w:asciiTheme="minorHAnsi" w:hAnsiTheme="minorHAnsi"/>
                <w:sz w:val="21"/>
                <w:szCs w:val="21"/>
              </w:rPr>
            </w:pPr>
            <w:r>
              <w:rPr>
                <w:rFonts w:asciiTheme="minorHAnsi" w:hAnsiTheme="minorHAnsi"/>
                <w:sz w:val="21"/>
                <w:szCs w:val="21"/>
              </w:rPr>
              <w:t>11</w:t>
            </w:r>
          </w:p>
        </w:tc>
        <w:tc>
          <w:tcPr>
            <w:tcW w:w="0" w:type="auto"/>
          </w:tcPr>
          <w:p w14:paraId="1ABEBBF9" w14:textId="55A61BD8" w:rsidR="006F1B6A" w:rsidRPr="00A4476C" w:rsidRDefault="006F1B6A">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BKR</w:t>
            </w:r>
            <w:r w:rsidRPr="006F1B6A">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223E0CDC" w14:textId="6C79A88D" w:rsidR="006F1B6A" w:rsidRPr="00B35BE4" w:rsidRDefault="00603DD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Baker Hughes</w:t>
            </w:r>
          </w:p>
        </w:tc>
        <w:tc>
          <w:tcPr>
            <w:tcW w:w="0" w:type="auto"/>
          </w:tcPr>
          <w:p w14:paraId="41801FC0" w14:textId="5068FEFA" w:rsidR="006F1B6A" w:rsidRDefault="00603DD3"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6B4EDBB1" w14:textId="084BFA04" w:rsidR="006F1B6A" w:rsidRDefault="00D565F9"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0.76</w:t>
            </w:r>
          </w:p>
        </w:tc>
        <w:tc>
          <w:tcPr>
            <w:tcW w:w="0" w:type="auto"/>
          </w:tcPr>
          <w:p w14:paraId="4B4F186D" w14:textId="28649F94" w:rsidR="006F1B6A" w:rsidRPr="00B35BE4" w:rsidRDefault="00D565F9"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$52-$61</w:t>
            </w:r>
          </w:p>
        </w:tc>
        <w:tc>
          <w:tcPr>
            <w:tcW w:w="0" w:type="auto"/>
            <w:shd w:val="clear" w:color="auto" w:fill="B3E5A1" w:themeFill="accent6" w:themeFillTint="66"/>
          </w:tcPr>
          <w:p w14:paraId="3468E27E" w14:textId="40E9BB10" w:rsidR="006F1B6A" w:rsidRPr="00E44156" w:rsidRDefault="00D565F9"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$56</w:t>
            </w:r>
          </w:p>
        </w:tc>
        <w:tc>
          <w:tcPr>
            <w:tcW w:w="0" w:type="auto"/>
          </w:tcPr>
          <w:p w14:paraId="36C5CDE5" w14:textId="7E77553C" w:rsidR="006F1B6A" w:rsidRDefault="00D565F9"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18.8%</w:t>
            </w:r>
          </w:p>
        </w:tc>
      </w:tr>
      <w:tr w:rsidR="0064009C" w:rsidRPr="00B35BE4" w14:paraId="7531D830" w14:textId="77777777" w:rsidTr="00EE0667">
        <w:tc>
          <w:tcPr>
            <w:cnfStyle w:val="001000000000" w:firstRow="0" w:lastRow="0" w:firstColumn="1" w:lastColumn="0" w:oddVBand="0" w:evenVBand="0" w:oddHBand="0" w:evenHBand="0" w:firstRowFirstColumn="0" w:firstRowLastColumn="0" w:lastRowFirstColumn="0" w:lastRowLastColumn="0"/>
            <w:tcW w:w="0" w:type="auto"/>
          </w:tcPr>
          <w:p w14:paraId="7BA18173" w14:textId="66E086D4" w:rsidR="00603DD3" w:rsidRDefault="00603DD3">
            <w:pPr>
              <w:pStyle w:val="p1"/>
              <w:rPr>
                <w:rFonts w:asciiTheme="minorHAnsi" w:hAnsiTheme="minorHAnsi"/>
                <w:sz w:val="21"/>
                <w:szCs w:val="21"/>
              </w:rPr>
            </w:pPr>
            <w:r>
              <w:rPr>
                <w:rFonts w:asciiTheme="minorHAnsi" w:hAnsiTheme="minorHAnsi"/>
                <w:sz w:val="21"/>
                <w:szCs w:val="21"/>
              </w:rPr>
              <w:t>12</w:t>
            </w:r>
          </w:p>
        </w:tc>
        <w:tc>
          <w:tcPr>
            <w:tcW w:w="0" w:type="auto"/>
          </w:tcPr>
          <w:p w14:paraId="7DF00A97" w14:textId="36613CAF" w:rsidR="00603DD3" w:rsidRDefault="00603DD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DVN</w:t>
            </w:r>
            <w:r w:rsidRPr="00603DD3">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7CD33FC2" w14:textId="21D9A951" w:rsidR="00603DD3" w:rsidRPr="00B35BE4" w:rsidRDefault="00D565F9">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Devon Energy</w:t>
            </w:r>
          </w:p>
        </w:tc>
        <w:tc>
          <w:tcPr>
            <w:tcW w:w="0" w:type="auto"/>
          </w:tcPr>
          <w:p w14:paraId="4F41EDE3" w14:textId="364144BE" w:rsidR="00603DD3" w:rsidRDefault="00D565F9"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2F4FF369" w14:textId="51337854" w:rsidR="00603DD3" w:rsidRDefault="00D565F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0.72</w:t>
            </w:r>
          </w:p>
        </w:tc>
        <w:tc>
          <w:tcPr>
            <w:tcW w:w="0" w:type="auto"/>
          </w:tcPr>
          <w:p w14:paraId="2939C3BC" w14:textId="7F747D52" w:rsidR="00603DD3" w:rsidRPr="00B35BE4" w:rsidRDefault="00D565F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$35-$55</w:t>
            </w:r>
          </w:p>
        </w:tc>
        <w:tc>
          <w:tcPr>
            <w:tcW w:w="0" w:type="auto"/>
            <w:shd w:val="clear" w:color="auto" w:fill="B3E5A1" w:themeFill="accent6" w:themeFillTint="66"/>
          </w:tcPr>
          <w:p w14:paraId="2816CCCE" w14:textId="2A61E154" w:rsidR="00603DD3" w:rsidRPr="00E44156"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$45</w:t>
            </w:r>
          </w:p>
        </w:tc>
        <w:tc>
          <w:tcPr>
            <w:tcW w:w="0" w:type="auto"/>
          </w:tcPr>
          <w:p w14:paraId="0DBBB595" w14:textId="4B539547" w:rsidR="00603DD3"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18.8%</w:t>
            </w:r>
          </w:p>
        </w:tc>
      </w:tr>
      <w:tr w:rsidR="0064009C" w:rsidRPr="00B35BE4" w14:paraId="04F79444"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6D45F99" w14:textId="737657C9" w:rsidR="00603DD3" w:rsidRDefault="00603DD3">
            <w:pPr>
              <w:pStyle w:val="p1"/>
              <w:rPr>
                <w:rFonts w:asciiTheme="minorHAnsi" w:hAnsiTheme="minorHAnsi"/>
                <w:sz w:val="21"/>
                <w:szCs w:val="21"/>
              </w:rPr>
            </w:pPr>
            <w:r>
              <w:rPr>
                <w:rFonts w:asciiTheme="minorHAnsi" w:hAnsiTheme="minorHAnsi"/>
                <w:sz w:val="21"/>
                <w:szCs w:val="21"/>
              </w:rPr>
              <w:t>13</w:t>
            </w:r>
          </w:p>
        </w:tc>
        <w:tc>
          <w:tcPr>
            <w:tcW w:w="0" w:type="auto"/>
          </w:tcPr>
          <w:p w14:paraId="0C6441A8" w14:textId="34FC39A4" w:rsidR="00603DD3" w:rsidRDefault="00603DD3">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KMI</w:t>
            </w:r>
            <w:r w:rsidRPr="00603DD3">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7D379209" w14:textId="0F216694" w:rsidR="00603DD3" w:rsidRPr="00B35BE4" w:rsidRDefault="00DA5B7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Kinder Morgan</w:t>
            </w:r>
          </w:p>
        </w:tc>
        <w:tc>
          <w:tcPr>
            <w:tcW w:w="0" w:type="auto"/>
          </w:tcPr>
          <w:p w14:paraId="57EA5276" w14:textId="0F68E5A7" w:rsidR="00603DD3" w:rsidRDefault="00DA5B7E"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536A67FC" w14:textId="7395E315" w:rsidR="00603DD3"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0.78</w:t>
            </w:r>
          </w:p>
        </w:tc>
        <w:tc>
          <w:tcPr>
            <w:tcW w:w="0" w:type="auto"/>
          </w:tcPr>
          <w:p w14:paraId="342416B3" w14:textId="12C678B4" w:rsidR="00603DD3" w:rsidRPr="00B35BE4"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$27-$36</w:t>
            </w:r>
          </w:p>
        </w:tc>
        <w:tc>
          <w:tcPr>
            <w:tcW w:w="0" w:type="auto"/>
            <w:shd w:val="clear" w:color="auto" w:fill="B3E5A1" w:themeFill="accent6" w:themeFillTint="66"/>
          </w:tcPr>
          <w:p w14:paraId="678796EF" w14:textId="56A6292F" w:rsidR="00603DD3" w:rsidRPr="00E44156"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$32</w:t>
            </w:r>
          </w:p>
        </w:tc>
        <w:tc>
          <w:tcPr>
            <w:tcW w:w="0" w:type="auto"/>
          </w:tcPr>
          <w:p w14:paraId="57B63AB8" w14:textId="68374D46" w:rsidR="00603DD3"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15.5%</w:t>
            </w:r>
          </w:p>
        </w:tc>
      </w:tr>
      <w:tr w:rsidR="0064009C" w:rsidRPr="00B35BE4" w14:paraId="78AB1E32" w14:textId="77777777" w:rsidTr="00EE0667">
        <w:trPr>
          <w:trHeight w:val="611"/>
        </w:trPr>
        <w:tc>
          <w:tcPr>
            <w:cnfStyle w:val="001000000000" w:firstRow="0" w:lastRow="0" w:firstColumn="1" w:lastColumn="0" w:oddVBand="0" w:evenVBand="0" w:oddHBand="0" w:evenHBand="0" w:firstRowFirstColumn="0" w:firstRowLastColumn="0" w:lastRowFirstColumn="0" w:lastRowLastColumn="0"/>
            <w:tcW w:w="0" w:type="auto"/>
          </w:tcPr>
          <w:p w14:paraId="480E4B65" w14:textId="70E105FB" w:rsidR="00603DD3" w:rsidRDefault="00603DD3">
            <w:pPr>
              <w:pStyle w:val="p1"/>
              <w:rPr>
                <w:rFonts w:asciiTheme="minorHAnsi" w:hAnsiTheme="minorHAnsi"/>
                <w:sz w:val="21"/>
                <w:szCs w:val="21"/>
              </w:rPr>
            </w:pPr>
            <w:r>
              <w:rPr>
                <w:rFonts w:asciiTheme="minorHAnsi" w:hAnsiTheme="minorHAnsi"/>
                <w:sz w:val="21"/>
                <w:szCs w:val="21"/>
              </w:rPr>
              <w:t>14</w:t>
            </w:r>
          </w:p>
        </w:tc>
        <w:tc>
          <w:tcPr>
            <w:tcW w:w="0" w:type="auto"/>
          </w:tcPr>
          <w:p w14:paraId="676F3203" w14:textId="781ED50F" w:rsidR="00603DD3" w:rsidRDefault="00603DD3">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MPC</w:t>
            </w:r>
            <w:r w:rsidRPr="00603DD3">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2FDE9281" w14:textId="3BCD85C5" w:rsidR="00603DD3" w:rsidRPr="00B35BE4" w:rsidRDefault="00DA5B7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Marathon Petroleum</w:t>
            </w:r>
          </w:p>
        </w:tc>
        <w:tc>
          <w:tcPr>
            <w:tcW w:w="0" w:type="auto"/>
          </w:tcPr>
          <w:p w14:paraId="08A72A8B" w14:textId="5691B1D4" w:rsidR="00603DD3" w:rsidRDefault="00DA5B7E"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1017DB82" w14:textId="6A2F279D" w:rsidR="00603DD3"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0.80</w:t>
            </w:r>
          </w:p>
        </w:tc>
        <w:tc>
          <w:tcPr>
            <w:tcW w:w="0" w:type="auto"/>
          </w:tcPr>
          <w:p w14:paraId="7E4CC8DD" w14:textId="6546036A" w:rsidR="00603DD3" w:rsidRPr="00B35BE4"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$189-$231</w:t>
            </w:r>
          </w:p>
        </w:tc>
        <w:tc>
          <w:tcPr>
            <w:tcW w:w="0" w:type="auto"/>
            <w:shd w:val="clear" w:color="auto" w:fill="B3E5A1" w:themeFill="accent6" w:themeFillTint="66"/>
          </w:tcPr>
          <w:p w14:paraId="62C2C0CB" w14:textId="3298A022" w:rsidR="00603DD3" w:rsidRPr="00E44156"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$205</w:t>
            </w:r>
          </w:p>
        </w:tc>
        <w:tc>
          <w:tcPr>
            <w:tcW w:w="0" w:type="auto"/>
          </w:tcPr>
          <w:p w14:paraId="646B04FC" w14:textId="11431918" w:rsidR="00603DD3" w:rsidRDefault="00DA5B7E"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24.1%</w:t>
            </w:r>
          </w:p>
        </w:tc>
      </w:tr>
      <w:tr w:rsidR="0064009C" w:rsidRPr="00B35BE4" w14:paraId="7A0A90CE"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69B4254" w14:textId="08944856" w:rsidR="00D34C3C" w:rsidRDefault="00D34C3C">
            <w:pPr>
              <w:pStyle w:val="p1"/>
              <w:rPr>
                <w:rFonts w:asciiTheme="minorHAnsi" w:hAnsiTheme="minorHAnsi"/>
                <w:sz w:val="21"/>
                <w:szCs w:val="21"/>
              </w:rPr>
            </w:pPr>
            <w:r>
              <w:rPr>
                <w:rFonts w:asciiTheme="minorHAnsi" w:hAnsiTheme="minorHAnsi"/>
                <w:sz w:val="21"/>
                <w:szCs w:val="21"/>
              </w:rPr>
              <w:t>15</w:t>
            </w:r>
          </w:p>
        </w:tc>
        <w:tc>
          <w:tcPr>
            <w:tcW w:w="0" w:type="auto"/>
            <w:shd w:val="clear" w:color="auto" w:fill="B3E5A1" w:themeFill="accent6" w:themeFillTint="66"/>
          </w:tcPr>
          <w:p w14:paraId="6D4C8E78" w14:textId="47D423E3" w:rsidR="00D34C3C" w:rsidRDefault="00D34C3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OXY</w:t>
            </w:r>
            <w:r w:rsidRPr="00D34C3C">
              <w:rPr>
                <w:rFonts w:asciiTheme="minorHAnsi" w:hAnsiTheme="minorHAnsi"/>
                <w:sz w:val="21"/>
                <w:szCs w:val="21"/>
                <w:vertAlign w:val="superscript"/>
              </w:rPr>
              <w:t>4</w:t>
            </w:r>
          </w:p>
        </w:tc>
        <w:tc>
          <w:tcPr>
            <w:tcW w:w="0" w:type="auto"/>
          </w:tcPr>
          <w:p w14:paraId="2D027866" w14:textId="39C68B0E" w:rsidR="00D34C3C" w:rsidRPr="00B35BE4" w:rsidRDefault="00DA5B7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Occidental Petroleum</w:t>
            </w:r>
          </w:p>
        </w:tc>
        <w:tc>
          <w:tcPr>
            <w:tcW w:w="0" w:type="auto"/>
          </w:tcPr>
          <w:p w14:paraId="52D19C9F" w14:textId="10D16471" w:rsidR="00D34C3C" w:rsidRDefault="00DA5B7E"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4E72691C" w14:textId="63313DC4" w:rsidR="00D34C3C"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0.75</w:t>
            </w:r>
          </w:p>
        </w:tc>
        <w:tc>
          <w:tcPr>
            <w:tcW w:w="0" w:type="auto"/>
          </w:tcPr>
          <w:p w14:paraId="16373FD9" w14:textId="27BD5EBF" w:rsidR="00D34C3C" w:rsidRPr="00B35BE4"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$38-$64</w:t>
            </w:r>
          </w:p>
        </w:tc>
        <w:tc>
          <w:tcPr>
            <w:tcW w:w="0" w:type="auto"/>
            <w:shd w:val="clear" w:color="auto" w:fill="B3E5A1" w:themeFill="accent6" w:themeFillTint="66"/>
          </w:tcPr>
          <w:p w14:paraId="60993827" w14:textId="0839A430" w:rsidR="00D34C3C" w:rsidRPr="00E44156"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$51</w:t>
            </w:r>
          </w:p>
        </w:tc>
        <w:tc>
          <w:tcPr>
            <w:tcW w:w="0" w:type="auto"/>
          </w:tcPr>
          <w:p w14:paraId="710C2594" w14:textId="58BEEAAE" w:rsidR="00D34C3C" w:rsidRDefault="00DA5B7E"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19.2%</w:t>
            </w:r>
          </w:p>
        </w:tc>
      </w:tr>
      <w:tr w:rsidR="0064009C" w:rsidRPr="00B35BE4" w14:paraId="531F7D11" w14:textId="77777777" w:rsidTr="00EE0667">
        <w:tc>
          <w:tcPr>
            <w:cnfStyle w:val="001000000000" w:firstRow="0" w:lastRow="0" w:firstColumn="1" w:lastColumn="0" w:oddVBand="0" w:evenVBand="0" w:oddHBand="0" w:evenHBand="0" w:firstRowFirstColumn="0" w:firstRowLastColumn="0" w:lastRowFirstColumn="0" w:lastRowLastColumn="0"/>
            <w:tcW w:w="0" w:type="auto"/>
          </w:tcPr>
          <w:p w14:paraId="52AA4C18" w14:textId="019FFD8A" w:rsidR="00D34C3C" w:rsidRDefault="00D34C3C">
            <w:pPr>
              <w:pStyle w:val="p1"/>
              <w:rPr>
                <w:rFonts w:asciiTheme="minorHAnsi" w:hAnsiTheme="minorHAnsi"/>
                <w:sz w:val="21"/>
                <w:szCs w:val="21"/>
              </w:rPr>
            </w:pPr>
            <w:r>
              <w:rPr>
                <w:rFonts w:asciiTheme="minorHAnsi" w:hAnsiTheme="minorHAnsi"/>
                <w:sz w:val="21"/>
                <w:szCs w:val="21"/>
              </w:rPr>
              <w:t>16</w:t>
            </w:r>
          </w:p>
        </w:tc>
        <w:tc>
          <w:tcPr>
            <w:tcW w:w="0" w:type="auto"/>
          </w:tcPr>
          <w:p w14:paraId="6A3627F5" w14:textId="5F55D7AF" w:rsidR="00D34C3C" w:rsidRDefault="00D34C3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PSX</w:t>
            </w:r>
            <w:r w:rsidRPr="00D34C3C">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3AA7C9C8" w14:textId="1C991691" w:rsidR="00D34C3C" w:rsidRPr="00B35BE4" w:rsidRDefault="00DA5B7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Phi</w:t>
            </w:r>
            <w:r w:rsidR="003F5AEA">
              <w:rPr>
                <w:rFonts w:asciiTheme="minorHAnsi" w:hAnsiTheme="minorHAnsi"/>
                <w:sz w:val="21"/>
                <w:szCs w:val="21"/>
              </w:rPr>
              <w:t>l</w:t>
            </w:r>
            <w:r>
              <w:rPr>
                <w:rFonts w:asciiTheme="minorHAnsi" w:hAnsiTheme="minorHAnsi"/>
                <w:sz w:val="21"/>
                <w:szCs w:val="21"/>
              </w:rPr>
              <w:t>lips 66</w:t>
            </w:r>
          </w:p>
        </w:tc>
        <w:tc>
          <w:tcPr>
            <w:tcW w:w="0" w:type="auto"/>
          </w:tcPr>
          <w:p w14:paraId="51F4C716" w14:textId="280FEE7B" w:rsidR="00D34C3C" w:rsidRDefault="00DA5B7E"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36867122" w14:textId="1F1C67F1" w:rsidR="00D34C3C" w:rsidRDefault="003F5AEA"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0.78</w:t>
            </w:r>
          </w:p>
        </w:tc>
        <w:tc>
          <w:tcPr>
            <w:tcW w:w="0" w:type="auto"/>
          </w:tcPr>
          <w:p w14:paraId="5EAEEC88" w14:textId="084FBCF0" w:rsidR="00D34C3C" w:rsidRPr="00B35BE4" w:rsidRDefault="003F5AEA"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$110-$171</w:t>
            </w:r>
          </w:p>
        </w:tc>
        <w:tc>
          <w:tcPr>
            <w:tcW w:w="0" w:type="auto"/>
            <w:shd w:val="clear" w:color="auto" w:fill="B3E5A1" w:themeFill="accent6" w:themeFillTint="66"/>
          </w:tcPr>
          <w:p w14:paraId="77B50CAC" w14:textId="48A135D9" w:rsidR="00D34C3C" w:rsidRPr="00E44156" w:rsidRDefault="003F5AEA"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$148</w:t>
            </w:r>
          </w:p>
        </w:tc>
        <w:tc>
          <w:tcPr>
            <w:tcW w:w="0" w:type="auto"/>
          </w:tcPr>
          <w:p w14:paraId="77B41891" w14:textId="7FD8591F" w:rsidR="00D34C3C" w:rsidRDefault="003F5AEA"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13.0%</w:t>
            </w:r>
          </w:p>
        </w:tc>
      </w:tr>
      <w:tr w:rsidR="0064009C" w:rsidRPr="00B35BE4" w14:paraId="2BD4E16A"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5AB87D7" w14:textId="27758DE4" w:rsidR="00D34C3C" w:rsidRDefault="00D34C3C">
            <w:pPr>
              <w:pStyle w:val="p1"/>
              <w:rPr>
                <w:rFonts w:asciiTheme="minorHAnsi" w:hAnsiTheme="minorHAnsi"/>
                <w:sz w:val="21"/>
                <w:szCs w:val="21"/>
              </w:rPr>
            </w:pPr>
            <w:r>
              <w:rPr>
                <w:rFonts w:asciiTheme="minorHAnsi" w:hAnsiTheme="minorHAnsi"/>
                <w:sz w:val="21"/>
                <w:szCs w:val="21"/>
              </w:rPr>
              <w:t>17</w:t>
            </w:r>
          </w:p>
        </w:tc>
        <w:tc>
          <w:tcPr>
            <w:tcW w:w="0" w:type="auto"/>
          </w:tcPr>
          <w:p w14:paraId="30871CCC" w14:textId="47661A59" w:rsidR="00D34C3C" w:rsidRDefault="00D34C3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SLB</w:t>
            </w:r>
            <w:r w:rsidRPr="00D34C3C">
              <w:rPr>
                <w:rFonts w:asciiTheme="minorHAnsi" w:hAnsiTheme="minorHAnsi"/>
                <w:sz w:val="21"/>
                <w:szCs w:val="21"/>
                <w:vertAlign w:val="superscript"/>
              </w:rPr>
              <w:t>4</w:t>
            </w:r>
            <w:r w:rsidR="00E44156">
              <w:rPr>
                <w:rFonts w:asciiTheme="minorHAnsi" w:hAnsiTheme="minorHAnsi"/>
                <w:sz w:val="21"/>
                <w:szCs w:val="21"/>
                <w:vertAlign w:val="superscript"/>
              </w:rPr>
              <w:t>,5</w:t>
            </w:r>
          </w:p>
        </w:tc>
        <w:tc>
          <w:tcPr>
            <w:tcW w:w="0" w:type="auto"/>
          </w:tcPr>
          <w:p w14:paraId="4A6881D8" w14:textId="09D142C9" w:rsidR="00D34C3C" w:rsidRPr="00B35BE4" w:rsidRDefault="003F5AEA">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SLB N.V.</w:t>
            </w:r>
          </w:p>
        </w:tc>
        <w:tc>
          <w:tcPr>
            <w:tcW w:w="0" w:type="auto"/>
          </w:tcPr>
          <w:p w14:paraId="264A1D1A" w14:textId="3BFBD783" w:rsidR="00D34C3C" w:rsidRDefault="003F5AEA" w:rsidP="00C524DB">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044B3BED" w14:textId="6DE9069F" w:rsidR="00D34C3C" w:rsidRDefault="003F5AEA"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0.72</w:t>
            </w:r>
          </w:p>
        </w:tc>
        <w:tc>
          <w:tcPr>
            <w:tcW w:w="0" w:type="auto"/>
          </w:tcPr>
          <w:p w14:paraId="55469F87" w14:textId="04339EC2" w:rsidR="00D34C3C" w:rsidRPr="00B35BE4" w:rsidRDefault="003F5AEA"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$38-$57</w:t>
            </w:r>
          </w:p>
        </w:tc>
        <w:tc>
          <w:tcPr>
            <w:tcW w:w="0" w:type="auto"/>
            <w:shd w:val="clear" w:color="auto" w:fill="B3E5A1" w:themeFill="accent6" w:themeFillTint="66"/>
          </w:tcPr>
          <w:p w14:paraId="1162F33C" w14:textId="45252D61" w:rsidR="00D34C3C" w:rsidRPr="00E44156" w:rsidRDefault="003F5AEA"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$48</w:t>
            </w:r>
          </w:p>
        </w:tc>
        <w:tc>
          <w:tcPr>
            <w:tcW w:w="0" w:type="auto"/>
          </w:tcPr>
          <w:p w14:paraId="1C19FB92" w14:textId="47560DA4" w:rsidR="00D34C3C" w:rsidRDefault="003F5AEA" w:rsidP="00D95927">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19.4%</w:t>
            </w:r>
          </w:p>
        </w:tc>
      </w:tr>
      <w:tr w:rsidR="0064009C" w:rsidRPr="00B35BE4" w14:paraId="77FA600A" w14:textId="77777777" w:rsidTr="00EE0667">
        <w:tc>
          <w:tcPr>
            <w:cnfStyle w:val="001000000000" w:firstRow="0" w:lastRow="0" w:firstColumn="1" w:lastColumn="0" w:oddVBand="0" w:evenVBand="0" w:oddHBand="0" w:evenHBand="0" w:firstRowFirstColumn="0" w:firstRowLastColumn="0" w:lastRowFirstColumn="0" w:lastRowLastColumn="0"/>
            <w:tcW w:w="0" w:type="auto"/>
          </w:tcPr>
          <w:p w14:paraId="4346F9EF" w14:textId="1A42324C" w:rsidR="00D34C3C" w:rsidRDefault="00D34C3C">
            <w:pPr>
              <w:pStyle w:val="p1"/>
              <w:rPr>
                <w:rFonts w:asciiTheme="minorHAnsi" w:hAnsiTheme="minorHAnsi"/>
                <w:sz w:val="21"/>
                <w:szCs w:val="21"/>
              </w:rPr>
            </w:pPr>
            <w:r>
              <w:rPr>
                <w:rFonts w:asciiTheme="minorHAnsi" w:hAnsiTheme="minorHAnsi"/>
                <w:sz w:val="21"/>
                <w:szCs w:val="21"/>
              </w:rPr>
              <w:t>1</w:t>
            </w:r>
            <w:r w:rsidR="00D32950">
              <w:rPr>
                <w:rFonts w:asciiTheme="minorHAnsi" w:hAnsiTheme="minorHAnsi"/>
                <w:sz w:val="21"/>
                <w:szCs w:val="21"/>
              </w:rPr>
              <w:t>8</w:t>
            </w:r>
          </w:p>
        </w:tc>
        <w:tc>
          <w:tcPr>
            <w:tcW w:w="0" w:type="auto"/>
          </w:tcPr>
          <w:p w14:paraId="14EF1E05" w14:textId="3D48F9B7" w:rsidR="00D34C3C" w:rsidRDefault="00D34C3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VLO</w:t>
            </w:r>
            <w:r w:rsidRPr="00D34C3C">
              <w:rPr>
                <w:rFonts w:asciiTheme="minorHAnsi" w:hAnsiTheme="minorHAnsi"/>
                <w:sz w:val="21"/>
                <w:szCs w:val="21"/>
                <w:vertAlign w:val="superscript"/>
              </w:rPr>
              <w:t>4</w:t>
            </w:r>
            <w:r w:rsidR="0064009C">
              <w:rPr>
                <w:rFonts w:asciiTheme="minorHAnsi" w:hAnsiTheme="minorHAnsi"/>
                <w:sz w:val="21"/>
                <w:szCs w:val="21"/>
                <w:vertAlign w:val="superscript"/>
              </w:rPr>
              <w:t>,5</w:t>
            </w:r>
          </w:p>
        </w:tc>
        <w:tc>
          <w:tcPr>
            <w:tcW w:w="0" w:type="auto"/>
          </w:tcPr>
          <w:p w14:paraId="345F5147" w14:textId="4A4D2055" w:rsidR="00D34C3C" w:rsidRPr="00B35BE4" w:rsidRDefault="003F5AEA">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Valero Energy</w:t>
            </w:r>
          </w:p>
        </w:tc>
        <w:tc>
          <w:tcPr>
            <w:tcW w:w="0" w:type="auto"/>
          </w:tcPr>
          <w:p w14:paraId="47BDD1C1" w14:textId="0BDE29FC" w:rsidR="00D34C3C" w:rsidRDefault="003F5AEA" w:rsidP="00C524DB">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N</w:t>
            </w:r>
          </w:p>
        </w:tc>
        <w:tc>
          <w:tcPr>
            <w:tcW w:w="0" w:type="auto"/>
          </w:tcPr>
          <w:p w14:paraId="5824C575" w14:textId="27377687" w:rsidR="00D34C3C" w:rsidRDefault="00A6355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0.76</w:t>
            </w:r>
          </w:p>
        </w:tc>
        <w:tc>
          <w:tcPr>
            <w:tcW w:w="0" w:type="auto"/>
          </w:tcPr>
          <w:p w14:paraId="15B80C5F" w14:textId="4D1BC3B0" w:rsidR="00D34C3C" w:rsidRPr="00B35BE4" w:rsidRDefault="00A6355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$149-$223</w:t>
            </w:r>
          </w:p>
        </w:tc>
        <w:tc>
          <w:tcPr>
            <w:tcW w:w="0" w:type="auto"/>
            <w:shd w:val="clear" w:color="auto" w:fill="B3E5A1" w:themeFill="accent6" w:themeFillTint="66"/>
          </w:tcPr>
          <w:p w14:paraId="50BF5D72" w14:textId="6043481A" w:rsidR="00D34C3C" w:rsidRPr="00E44156" w:rsidRDefault="00A6355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sidRPr="00E44156">
              <w:rPr>
                <w:rFonts w:asciiTheme="minorHAnsi" w:hAnsiTheme="minorHAnsi"/>
                <w:sz w:val="21"/>
                <w:szCs w:val="21"/>
              </w:rPr>
              <w:t>$185</w:t>
            </w:r>
          </w:p>
        </w:tc>
        <w:tc>
          <w:tcPr>
            <w:tcW w:w="0" w:type="auto"/>
          </w:tcPr>
          <w:p w14:paraId="5870BC73" w14:textId="1689C171" w:rsidR="00D34C3C" w:rsidRDefault="00A63559" w:rsidP="00D9592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 w:val="21"/>
                <w:szCs w:val="21"/>
              </w:rPr>
            </w:pPr>
            <w:r>
              <w:rPr>
                <w:rFonts w:asciiTheme="minorHAnsi" w:hAnsiTheme="minorHAnsi"/>
                <w:sz w:val="21"/>
                <w:szCs w:val="21"/>
              </w:rPr>
              <w:t>11.9%</w:t>
            </w:r>
          </w:p>
        </w:tc>
      </w:tr>
    </w:tbl>
    <w:p w14:paraId="6509EE08" w14:textId="77777777" w:rsidR="00D95927" w:rsidRPr="005C3B4E" w:rsidRDefault="00D95927" w:rsidP="00D95927">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64F07DCA" w14:textId="77777777" w:rsidR="00415BD4" w:rsidRDefault="00415BD4" w:rsidP="00415BD4">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19538B3A" w14:textId="6BEF6008" w:rsidR="006C2E96" w:rsidRDefault="00B00B77" w:rsidP="006C2E96">
      <w:pPr>
        <w:pStyle w:val="p1"/>
        <w:rPr>
          <w:sz w:val="20"/>
          <w:szCs w:val="20"/>
        </w:rPr>
      </w:pPr>
      <w:r w:rsidRPr="00B00B77">
        <w:rPr>
          <w:sz w:val="20"/>
          <w:szCs w:val="20"/>
          <w:vertAlign w:val="superscript"/>
        </w:rPr>
        <w:t>3</w:t>
      </w:r>
      <w:r>
        <w:rPr>
          <w:sz w:val="20"/>
          <w:szCs w:val="20"/>
        </w:rPr>
        <w:t xml:space="preserve"> Company has notable dividend component.</w:t>
      </w:r>
    </w:p>
    <w:p w14:paraId="4EAFDD86" w14:textId="3A5ED87E" w:rsidR="006F1B6A" w:rsidRDefault="006F1B6A" w:rsidP="006C2E96">
      <w:pPr>
        <w:pStyle w:val="p1"/>
        <w:rPr>
          <w:sz w:val="20"/>
          <w:szCs w:val="20"/>
        </w:rPr>
      </w:pPr>
      <w:r w:rsidRPr="006F1B6A">
        <w:rPr>
          <w:sz w:val="20"/>
          <w:szCs w:val="20"/>
          <w:vertAlign w:val="superscript"/>
        </w:rPr>
        <w:t>4</w:t>
      </w:r>
      <w:r>
        <w:rPr>
          <w:sz w:val="20"/>
          <w:szCs w:val="20"/>
        </w:rPr>
        <w:t xml:space="preserve"> </w:t>
      </w:r>
      <w:r w:rsidR="00603DD3">
        <w:rPr>
          <w:sz w:val="20"/>
          <w:szCs w:val="20"/>
        </w:rPr>
        <w:t>Provides</w:t>
      </w:r>
      <w:r>
        <w:rPr>
          <w:sz w:val="20"/>
          <w:szCs w:val="20"/>
        </w:rPr>
        <w:t xml:space="preserve"> portfolio risk protection.</w:t>
      </w:r>
    </w:p>
    <w:p w14:paraId="754469F8" w14:textId="1C98E0E3" w:rsidR="0008123E" w:rsidRDefault="00E44156" w:rsidP="0008123E">
      <w:pPr>
        <w:pStyle w:val="p1"/>
        <w:rPr>
          <w:sz w:val="20"/>
          <w:szCs w:val="20"/>
        </w:rPr>
      </w:pPr>
      <w:r w:rsidRPr="0064009C">
        <w:rPr>
          <w:sz w:val="20"/>
          <w:szCs w:val="20"/>
          <w:vertAlign w:val="superscript"/>
        </w:rPr>
        <w:t>5</w:t>
      </w:r>
      <w:r>
        <w:rPr>
          <w:sz w:val="20"/>
          <w:szCs w:val="20"/>
        </w:rPr>
        <w:t xml:space="preserve"> Price rose too fast to buy in time.</w:t>
      </w:r>
    </w:p>
    <w:p w14:paraId="58DFDA2E" w14:textId="157D51A0" w:rsidR="00247AA7" w:rsidRPr="00247AA7" w:rsidRDefault="00247AA7" w:rsidP="0008123E">
      <w:pPr>
        <w:pStyle w:val="p1"/>
        <w:rPr>
          <w:rStyle w:val="s1"/>
          <w:b/>
          <w:bCs/>
          <w:kern w:val="36"/>
          <w:sz w:val="28"/>
          <w:szCs w:val="28"/>
        </w:rPr>
      </w:pPr>
      <w:r>
        <w:rPr>
          <w:sz w:val="20"/>
          <w:szCs w:val="20"/>
        </w:rPr>
        <w:t>Notes: Tickers highlighted green were selected.  Thesis 1-year targets highlighted in green were achieved during calendar year 2026.</w:t>
      </w:r>
    </w:p>
    <w:p w14:paraId="7488208A" w14:textId="1AF59862" w:rsidR="00D545E8" w:rsidRPr="005A5AC3" w:rsidRDefault="00D545E8" w:rsidP="00876DCF">
      <w:pPr>
        <w:pStyle w:val="p1"/>
      </w:pPr>
      <w:r w:rsidRPr="005A5AC3">
        <w:rPr>
          <w:b/>
          <w:bCs/>
          <w:kern w:val="36"/>
          <w:sz w:val="28"/>
          <w:szCs w:val="28"/>
        </w:rPr>
        <w:br w:type="page"/>
      </w:r>
    </w:p>
    <w:p w14:paraId="56CB9D11" w14:textId="18FB1CAF" w:rsidR="009F312F" w:rsidRDefault="009F312F" w:rsidP="009B48AB">
      <w:pPr>
        <w:pStyle w:val="Heading3"/>
      </w:pPr>
      <w:r>
        <w:lastRenderedPageBreak/>
        <w:t>Industrials Sector Outlook:</w:t>
      </w:r>
    </w:p>
    <w:p w14:paraId="3B25D44A" w14:textId="77777777" w:rsidR="001C2EDC" w:rsidRPr="005C3B4E" w:rsidRDefault="001C2EDC" w:rsidP="001C2EDC">
      <w:pPr>
        <w:pStyle w:val="p1"/>
      </w:pPr>
      <w:r w:rsidRPr="005C3B4E">
        <w:t xml:space="preserve">The Industrials sector enters 2026 on </w:t>
      </w:r>
      <w:r w:rsidRPr="005C3B4E">
        <w:rPr>
          <w:rStyle w:val="s1"/>
          <w:rFonts w:eastAsiaTheme="majorEastAsia"/>
        </w:rPr>
        <w:t>firmer and more structurally supported footing</w:t>
      </w:r>
      <w:r w:rsidRPr="005C3B4E">
        <w:t xml:space="preserve"> than at the start of 2025, despite operating in an environment of elevated long-term interest rates and constrained public finances. Cooling inflation and gradual rate cuts ease near-term pressure, but the structurally higher cost of capital—driven by sustained federal borrowing—keeps capital selective and favors projects with clear payback, strategic relevance, or regulated returns. Supply chains continue to normalize after years of disruption, while reshoring and “friend-shoring” efforts, reinforced by geopolitical tension with China and industrial policy incentives, sustain demand for domestic manufacturing capacity, factory automation, logistics infrastructure, and advanced equipment.</w:t>
      </w:r>
    </w:p>
    <w:p w14:paraId="53AA4A03" w14:textId="77777777" w:rsidR="001C2EDC" w:rsidRPr="005C3B4E" w:rsidRDefault="001C2EDC" w:rsidP="001C2EDC">
      <w:pPr>
        <w:pStyle w:val="p1"/>
      </w:pPr>
      <w:r w:rsidRPr="005C3B4E">
        <w:t xml:space="preserve">By mid-2026, industrial performance is shaped by </w:t>
      </w:r>
      <w:r w:rsidRPr="005C3B4E">
        <w:rPr>
          <w:rStyle w:val="s1"/>
          <w:rFonts w:eastAsiaTheme="majorEastAsia"/>
        </w:rPr>
        <w:t>three reinforcing structural drivers</w:t>
      </w:r>
      <w:r w:rsidRPr="005C3B4E">
        <w:t>:</w:t>
      </w:r>
    </w:p>
    <w:p w14:paraId="46E62C15" w14:textId="77777777" w:rsidR="001C2EDC" w:rsidRPr="005C3B4E" w:rsidRDefault="001C2EDC" w:rsidP="001C2EDC">
      <w:pPr>
        <w:pStyle w:val="p1"/>
        <w:numPr>
          <w:ilvl w:val="0"/>
          <w:numId w:val="59"/>
        </w:numPr>
      </w:pPr>
      <w:r w:rsidRPr="005C3B4E">
        <w:t>AI-driven automation and digitalization</w:t>
      </w:r>
      <w:r w:rsidRPr="005C3B4E">
        <w:rPr>
          <w:rStyle w:val="s1"/>
          <w:rFonts w:eastAsiaTheme="majorEastAsia"/>
        </w:rPr>
        <w:t>,</w:t>
      </w:r>
    </w:p>
    <w:p w14:paraId="0735F70D" w14:textId="77777777" w:rsidR="001C2EDC" w:rsidRPr="005C3B4E" w:rsidRDefault="001C2EDC" w:rsidP="001C2EDC">
      <w:pPr>
        <w:pStyle w:val="p1"/>
        <w:numPr>
          <w:ilvl w:val="0"/>
          <w:numId w:val="59"/>
        </w:numPr>
      </w:pPr>
      <w:r w:rsidRPr="005C3B4E">
        <w:t>defense and aerospace spending</w:t>
      </w:r>
      <w:r w:rsidRPr="005C3B4E">
        <w:rPr>
          <w:rStyle w:val="s1"/>
          <w:rFonts w:eastAsiaTheme="majorEastAsia"/>
        </w:rPr>
        <w:t>, and</w:t>
      </w:r>
    </w:p>
    <w:p w14:paraId="3C5363E5" w14:textId="77777777" w:rsidR="001C2EDC" w:rsidRPr="005C3B4E" w:rsidRDefault="001C2EDC" w:rsidP="001C2EDC">
      <w:pPr>
        <w:pStyle w:val="p1"/>
        <w:numPr>
          <w:ilvl w:val="0"/>
          <w:numId w:val="59"/>
        </w:numPr>
      </w:pPr>
      <w:r w:rsidRPr="005C3B4E">
        <w:t>infrastructure, electrification, and grid modernization</w:t>
      </w:r>
      <w:r w:rsidRPr="005C3B4E">
        <w:rPr>
          <w:rStyle w:val="s1"/>
          <w:rFonts w:eastAsiaTheme="majorEastAsia"/>
        </w:rPr>
        <w:t>.</w:t>
      </w:r>
    </w:p>
    <w:p w14:paraId="480268FB" w14:textId="77777777" w:rsidR="001C2EDC" w:rsidRDefault="001C2EDC" w:rsidP="001C2EDC">
      <w:pPr>
        <w:pStyle w:val="p1"/>
      </w:pPr>
      <w:r>
        <w:t xml:space="preserve">AI adoption moves decisively from pilot programs to production-scale deployment across manufacturing execution systems, predictive maintenance, quality control, safety monitoring, and logistics optimization. These technologies deliver incremental but real productivity gains, particularly for firms that integrate software, sensors, controls, and robotics at scale, helping offset chronic labor shortages and wage pressure rather than eliminating labor demand. Defense and aerospace remain among the strongest subsectors, supported by sustained geopolitical instability, large commercial aircraft backlogs, and long-dated government contracts that are relatively insulated from </w:t>
      </w:r>
      <w:r w:rsidRPr="005C3B4E">
        <w:t xml:space="preserve">cyclical downturns and short-term fiscal tightening. Infrastructure investment continues, but with a clear shift toward </w:t>
      </w:r>
      <w:r w:rsidRPr="005C3B4E">
        <w:rPr>
          <w:rStyle w:val="s1"/>
          <w:rFonts w:eastAsiaTheme="majorEastAsia"/>
        </w:rPr>
        <w:t>execution, maintenance, and resilience</w:t>
      </w:r>
      <w:r w:rsidRPr="005C3B4E">
        <w:t>—including grid hardening, electrification, power management, and on-site generation—rather than expansive new builds, reflecting tighter federal fiscal flexibility and rising interest costs.</w:t>
      </w:r>
    </w:p>
    <w:p w14:paraId="6300779E" w14:textId="77777777" w:rsidR="001C2EDC" w:rsidRDefault="001C2EDC" w:rsidP="001C2EDC">
      <w:pPr>
        <w:pStyle w:val="p1"/>
      </w:pPr>
      <w:r>
        <w:t>Energy constraints increasingly influence outcomes. Surging electricity demand from AI data centers and industrial electrification creates localized grid stress, interconnection delays, and regional tradeoffs that can curtail industrial loads in high-strain areas. These constraints raise operating costs in some regions but simultaneously accelerate investment in grid modernization, power-management equipment, and distributed energy solutions, benefiting industrial firms positioned around reliability and efficiency. Traditional heavy manufacturing and construction-equipment producers see modest recovery after a weak 2025, but remain sensitive to regional energy availability, permitting timelines, and disciplined customer capex. Transportation and logistics operate in a healthier overall environment, aided by fuel-price stability and AI-enabled routing, though climate-related disruptions remain episodic risks.</w:t>
      </w:r>
    </w:p>
    <w:p w14:paraId="15726BAF" w14:textId="68D95AC3" w:rsidR="001C2EDC" w:rsidRPr="001C2EDC" w:rsidRDefault="001C2EDC" w:rsidP="001C2EDC">
      <w:pPr>
        <w:pStyle w:val="p1"/>
      </w:pPr>
      <w:r w:rsidRPr="005C3B4E">
        <w:t xml:space="preserve">By late 2026, the Industrials sector exhibits </w:t>
      </w:r>
      <w:r w:rsidRPr="005C3B4E">
        <w:rPr>
          <w:rStyle w:val="s1"/>
          <w:rFonts w:eastAsiaTheme="majorEastAsia"/>
        </w:rPr>
        <w:t>broad but highly dispersed strength</w:t>
      </w:r>
      <w:r w:rsidRPr="005C3B4E">
        <w:t xml:space="preserve">. Aerospace and defense, automation, electrification, and industrial technology (sensors, controls, embedded software, advanced materials) outperform, while legacy, low-automation, or capital-intensive </w:t>
      </w:r>
      <w:r w:rsidRPr="005C3B4E">
        <w:lastRenderedPageBreak/>
        <w:t xml:space="preserve">segments lag. Elevated public debt does not derail the sector, but it </w:t>
      </w:r>
      <w:r w:rsidRPr="005C3B4E">
        <w:rPr>
          <w:rStyle w:val="s1"/>
          <w:rFonts w:eastAsiaTheme="majorEastAsia"/>
        </w:rPr>
        <w:t>shifts advantage toward scale players</w:t>
      </w:r>
      <w:r w:rsidRPr="005C3B4E">
        <w:t>, firms aligned with national-security and infrastructure priorities, and those capable of delivering productivity gains under tighter capital conditions. Industrials in 2026 are therefore better</w:t>
      </w:r>
      <w:r>
        <w:t xml:space="preserve"> supported than in a typical late-cycle environment, but success depends increasingly on execution under constraint, digital maturity, and exposure to policy- and technology-linked capex rather than broad cyclical recovery.</w:t>
      </w:r>
    </w:p>
    <w:p w14:paraId="04298546" w14:textId="672B5080" w:rsidR="001C2EDC" w:rsidRPr="006B4ECC" w:rsidRDefault="0043369F" w:rsidP="0045186B">
      <w:pPr>
        <w:pStyle w:val="p3"/>
      </w:pPr>
      <w:r>
        <w:rPr>
          <w:b/>
          <w:bCs/>
        </w:rPr>
        <w:t xml:space="preserve">Top </w:t>
      </w:r>
      <w:r w:rsidR="001B23F3">
        <w:rPr>
          <w:b/>
          <w:bCs/>
        </w:rPr>
        <w:t>I</w:t>
      </w:r>
      <w:r>
        <w:rPr>
          <w:b/>
          <w:bCs/>
        </w:rPr>
        <w:t>ndustrials companies positioned for 2026:</w:t>
      </w:r>
    </w:p>
    <w:tbl>
      <w:tblPr>
        <w:tblStyle w:val="ListTable4-Accent4"/>
        <w:tblW w:w="0" w:type="auto"/>
        <w:tblLook w:val="04A0" w:firstRow="1" w:lastRow="0" w:firstColumn="1" w:lastColumn="0" w:noHBand="0" w:noVBand="1"/>
      </w:tblPr>
      <w:tblGrid>
        <w:gridCol w:w="765"/>
        <w:gridCol w:w="857"/>
        <w:gridCol w:w="1946"/>
        <w:gridCol w:w="1282"/>
        <w:gridCol w:w="1174"/>
        <w:gridCol w:w="1558"/>
        <w:gridCol w:w="1023"/>
        <w:gridCol w:w="1105"/>
      </w:tblGrid>
      <w:tr w:rsidR="004143F6" w:rsidRPr="0045186B" w14:paraId="7F61DABF" w14:textId="77777777" w:rsidTr="009B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BCCF91" w14:textId="77777777" w:rsidR="001A717D" w:rsidRPr="0045186B" w:rsidRDefault="001A717D" w:rsidP="00B57107">
            <w:pPr>
              <w:pStyle w:val="p1"/>
              <w:jc w:val="center"/>
              <w:rPr>
                <w:rFonts w:asciiTheme="minorHAnsi" w:hAnsiTheme="minorHAnsi"/>
                <w:szCs w:val="22"/>
              </w:rPr>
            </w:pPr>
            <w:r w:rsidRPr="0045186B">
              <w:rPr>
                <w:rFonts w:asciiTheme="minorHAnsi" w:hAnsiTheme="minorHAnsi"/>
                <w:b w:val="0"/>
                <w:bCs w:val="0"/>
                <w:szCs w:val="22"/>
              </w:rPr>
              <w:t>Rank</w:t>
            </w:r>
            <w:r w:rsidRPr="00B57107">
              <w:rPr>
                <w:rFonts w:asciiTheme="minorHAnsi" w:hAnsiTheme="minorHAnsi"/>
                <w:b w:val="0"/>
                <w:bCs w:val="0"/>
                <w:szCs w:val="22"/>
                <w:vertAlign w:val="superscript"/>
              </w:rPr>
              <w:t>1</w:t>
            </w:r>
          </w:p>
        </w:tc>
        <w:tc>
          <w:tcPr>
            <w:tcW w:w="0" w:type="auto"/>
            <w:hideMark/>
          </w:tcPr>
          <w:p w14:paraId="7873B65A"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45186B">
              <w:rPr>
                <w:rFonts w:asciiTheme="minorHAnsi" w:hAnsiTheme="minorHAnsi"/>
                <w:b w:val="0"/>
                <w:bCs w:val="0"/>
                <w:szCs w:val="22"/>
              </w:rPr>
              <w:t>Ticker</w:t>
            </w:r>
          </w:p>
        </w:tc>
        <w:tc>
          <w:tcPr>
            <w:tcW w:w="0" w:type="auto"/>
            <w:hideMark/>
          </w:tcPr>
          <w:p w14:paraId="0A27A23F"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45186B">
              <w:rPr>
                <w:rFonts w:asciiTheme="minorHAnsi" w:hAnsiTheme="minorHAnsi"/>
                <w:b w:val="0"/>
                <w:bCs w:val="0"/>
                <w:szCs w:val="22"/>
              </w:rPr>
              <w:t>Company</w:t>
            </w:r>
          </w:p>
        </w:tc>
        <w:tc>
          <w:tcPr>
            <w:tcW w:w="0" w:type="auto"/>
            <w:hideMark/>
          </w:tcPr>
          <w:p w14:paraId="2D87EEA1"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Top 5 (Return)</w:t>
            </w:r>
          </w:p>
        </w:tc>
        <w:tc>
          <w:tcPr>
            <w:tcW w:w="0" w:type="auto"/>
            <w:hideMark/>
          </w:tcPr>
          <w:p w14:paraId="52DA629D"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1F060FDB"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Analyst 1-yr target</w:t>
            </w:r>
          </w:p>
        </w:tc>
        <w:tc>
          <w:tcPr>
            <w:tcW w:w="0" w:type="auto"/>
            <w:hideMark/>
          </w:tcPr>
          <w:p w14:paraId="469B10D6"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1-yr target</w:t>
            </w:r>
          </w:p>
        </w:tc>
        <w:tc>
          <w:tcPr>
            <w:tcW w:w="0" w:type="auto"/>
            <w:hideMark/>
          </w:tcPr>
          <w:p w14:paraId="45E1B822" w14:textId="77777777" w:rsidR="001A717D" w:rsidRPr="0045186B" w:rsidRDefault="001A717D" w:rsidP="00B57107">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Pr>
                <w:rFonts w:asciiTheme="minorHAnsi" w:hAnsiTheme="minorHAnsi"/>
                <w:b w:val="0"/>
                <w:bCs w:val="0"/>
                <w:sz w:val="20"/>
                <w:szCs w:val="20"/>
              </w:rPr>
              <w:br/>
              <w:t>(Thesis)</w:t>
            </w:r>
          </w:p>
        </w:tc>
      </w:tr>
      <w:tr w:rsidR="004143F6" w:rsidRPr="0045186B" w14:paraId="5CDEA25A"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811CEE4" w14:textId="2B6D79F6" w:rsidR="001A717D" w:rsidRPr="00F459EC" w:rsidRDefault="001A717D">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tcPr>
          <w:p w14:paraId="0E3AE443" w14:textId="28918678" w:rsidR="001A717D" w:rsidRPr="00415BD4"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GEV</w:t>
            </w:r>
          </w:p>
        </w:tc>
        <w:tc>
          <w:tcPr>
            <w:tcW w:w="0" w:type="auto"/>
          </w:tcPr>
          <w:p w14:paraId="0453933E" w14:textId="77777777" w:rsidR="001A717D" w:rsidRPr="0045186B"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 xml:space="preserve">GE </w:t>
            </w:r>
            <w:proofErr w:type="spellStart"/>
            <w:r>
              <w:rPr>
                <w:rFonts w:asciiTheme="minorHAnsi" w:hAnsiTheme="minorHAnsi"/>
                <w:szCs w:val="22"/>
              </w:rPr>
              <w:t>Vernova</w:t>
            </w:r>
            <w:proofErr w:type="spellEnd"/>
            <w:r>
              <w:rPr>
                <w:rFonts w:asciiTheme="minorHAnsi" w:hAnsiTheme="minorHAnsi"/>
                <w:szCs w:val="22"/>
              </w:rPr>
              <w:t xml:space="preserve"> Inc.</w:t>
            </w:r>
          </w:p>
        </w:tc>
        <w:tc>
          <w:tcPr>
            <w:tcW w:w="0" w:type="auto"/>
          </w:tcPr>
          <w:p w14:paraId="15446E25" w14:textId="77777777" w:rsidR="001A717D" w:rsidRPr="0045186B" w:rsidRDefault="001A717D"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7D4232E4"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tcPr>
          <w:p w14:paraId="6FA75088"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$475-$1000</w:t>
            </w:r>
          </w:p>
        </w:tc>
        <w:tc>
          <w:tcPr>
            <w:tcW w:w="0" w:type="auto"/>
            <w:shd w:val="clear" w:color="auto" w:fill="B3E5A1" w:themeFill="accent6" w:themeFillTint="66"/>
          </w:tcPr>
          <w:p w14:paraId="00C96D6B" w14:textId="77777777" w:rsidR="001A717D" w:rsidRPr="0045186B" w:rsidRDefault="001A717D" w:rsidP="00094B2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$815</w:t>
            </w:r>
          </w:p>
        </w:tc>
        <w:tc>
          <w:tcPr>
            <w:tcW w:w="0" w:type="auto"/>
          </w:tcPr>
          <w:p w14:paraId="4A7746A9"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19.9%</w:t>
            </w:r>
          </w:p>
        </w:tc>
      </w:tr>
      <w:tr w:rsidR="004143F6" w:rsidRPr="0045186B" w14:paraId="0C46D094" w14:textId="77777777" w:rsidTr="00413E89">
        <w:tc>
          <w:tcPr>
            <w:cnfStyle w:val="001000000000" w:firstRow="0" w:lastRow="0" w:firstColumn="1" w:lastColumn="0" w:oddVBand="0" w:evenVBand="0" w:oddHBand="0" w:evenHBand="0" w:firstRowFirstColumn="0" w:firstRowLastColumn="0" w:lastRowFirstColumn="0" w:lastRowLastColumn="0"/>
            <w:tcW w:w="0" w:type="auto"/>
            <w:hideMark/>
          </w:tcPr>
          <w:p w14:paraId="64073DA5" w14:textId="0ED537A9" w:rsidR="001A717D" w:rsidRPr="00F459EC" w:rsidRDefault="001A717D">
            <w:pPr>
              <w:pStyle w:val="p1"/>
              <w:rPr>
                <w:rFonts w:asciiTheme="minorHAnsi" w:hAnsiTheme="minorHAnsi"/>
                <w:b w:val="0"/>
                <w:bCs w:val="0"/>
                <w:szCs w:val="22"/>
              </w:rPr>
            </w:pPr>
            <w:r>
              <w:rPr>
                <w:rFonts w:asciiTheme="minorHAnsi" w:hAnsiTheme="minorHAnsi"/>
                <w:szCs w:val="22"/>
              </w:rPr>
              <w:t>2</w:t>
            </w:r>
          </w:p>
        </w:tc>
        <w:tc>
          <w:tcPr>
            <w:tcW w:w="0" w:type="auto"/>
            <w:shd w:val="clear" w:color="auto" w:fill="B3E5A1" w:themeFill="accent6" w:themeFillTint="66"/>
            <w:hideMark/>
          </w:tcPr>
          <w:p w14:paraId="04D4D2D0" w14:textId="71E06024" w:rsidR="001A717D" w:rsidRPr="00415BD4"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ETN</w:t>
            </w:r>
          </w:p>
        </w:tc>
        <w:tc>
          <w:tcPr>
            <w:tcW w:w="0" w:type="auto"/>
            <w:hideMark/>
          </w:tcPr>
          <w:p w14:paraId="73A8304E" w14:textId="77777777" w:rsidR="001A717D" w:rsidRPr="0045186B"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5186B">
              <w:rPr>
                <w:rFonts w:asciiTheme="minorHAnsi" w:hAnsiTheme="minorHAnsi"/>
                <w:szCs w:val="22"/>
              </w:rPr>
              <w:t>Eaton</w:t>
            </w:r>
          </w:p>
        </w:tc>
        <w:tc>
          <w:tcPr>
            <w:tcW w:w="0" w:type="auto"/>
            <w:hideMark/>
          </w:tcPr>
          <w:p w14:paraId="165209C3" w14:textId="77777777" w:rsidR="001A717D" w:rsidRPr="0045186B" w:rsidRDefault="001A717D" w:rsidP="00F002E3">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644D4731"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0.93</w:t>
            </w:r>
          </w:p>
        </w:tc>
        <w:tc>
          <w:tcPr>
            <w:tcW w:w="0" w:type="auto"/>
            <w:hideMark/>
          </w:tcPr>
          <w:p w14:paraId="03B11C57"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$340-$442</w:t>
            </w:r>
          </w:p>
        </w:tc>
        <w:tc>
          <w:tcPr>
            <w:tcW w:w="0" w:type="auto"/>
            <w:shd w:val="clear" w:color="auto" w:fill="B3E5A1" w:themeFill="accent6" w:themeFillTint="66"/>
            <w:hideMark/>
          </w:tcPr>
          <w:p w14:paraId="3C98DA8C"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$409</w:t>
            </w:r>
          </w:p>
        </w:tc>
        <w:tc>
          <w:tcPr>
            <w:tcW w:w="0" w:type="auto"/>
            <w:hideMark/>
          </w:tcPr>
          <w:p w14:paraId="4F04F564"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25.0%</w:t>
            </w:r>
          </w:p>
        </w:tc>
      </w:tr>
      <w:tr w:rsidR="004143F6" w:rsidRPr="0045186B" w14:paraId="1B01A2D7" w14:textId="77777777" w:rsidTr="00415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BC69AD" w14:textId="77777777" w:rsidR="001A717D" w:rsidRPr="00F459EC" w:rsidRDefault="001A717D">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3E2ED642" w14:textId="47D527E9" w:rsidR="001A717D" w:rsidRPr="00415BD4"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XYL</w:t>
            </w:r>
          </w:p>
        </w:tc>
        <w:tc>
          <w:tcPr>
            <w:tcW w:w="0" w:type="auto"/>
          </w:tcPr>
          <w:p w14:paraId="25DE7599" w14:textId="77777777" w:rsidR="001A717D" w:rsidRPr="0045186B"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Xylem, Inc.</w:t>
            </w:r>
          </w:p>
        </w:tc>
        <w:tc>
          <w:tcPr>
            <w:tcW w:w="0" w:type="auto"/>
          </w:tcPr>
          <w:p w14:paraId="62523D54" w14:textId="77777777" w:rsidR="001A717D" w:rsidRDefault="001A717D"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0807BC0D"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tcPr>
          <w:p w14:paraId="2BC5EDDB"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$135-$182</w:t>
            </w:r>
          </w:p>
        </w:tc>
        <w:tc>
          <w:tcPr>
            <w:tcW w:w="0" w:type="auto"/>
          </w:tcPr>
          <w:p w14:paraId="6342A7B3"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$165</w:t>
            </w:r>
          </w:p>
        </w:tc>
        <w:tc>
          <w:tcPr>
            <w:tcW w:w="0" w:type="auto"/>
          </w:tcPr>
          <w:p w14:paraId="0F286043"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20.3%</w:t>
            </w:r>
          </w:p>
        </w:tc>
      </w:tr>
      <w:tr w:rsidR="004143F6" w:rsidRPr="0045186B" w14:paraId="2C44427D" w14:textId="77777777" w:rsidTr="00EE0667">
        <w:tc>
          <w:tcPr>
            <w:cnfStyle w:val="001000000000" w:firstRow="0" w:lastRow="0" w:firstColumn="1" w:lastColumn="0" w:oddVBand="0" w:evenVBand="0" w:oddHBand="0" w:evenHBand="0" w:firstRowFirstColumn="0" w:firstRowLastColumn="0" w:lastRowFirstColumn="0" w:lastRowLastColumn="0"/>
            <w:tcW w:w="0" w:type="auto"/>
            <w:hideMark/>
          </w:tcPr>
          <w:p w14:paraId="28D0C3EF" w14:textId="3365DAF3" w:rsidR="001A717D" w:rsidRPr="00F459EC" w:rsidRDefault="001A717D">
            <w:pPr>
              <w:pStyle w:val="p1"/>
              <w:rPr>
                <w:rFonts w:asciiTheme="minorHAnsi" w:hAnsiTheme="minorHAnsi"/>
                <w:szCs w:val="22"/>
              </w:rPr>
            </w:pPr>
            <w:r>
              <w:rPr>
                <w:rFonts w:asciiTheme="minorHAnsi" w:hAnsiTheme="minorHAnsi"/>
                <w:szCs w:val="22"/>
              </w:rPr>
              <w:t>4</w:t>
            </w:r>
          </w:p>
        </w:tc>
        <w:tc>
          <w:tcPr>
            <w:tcW w:w="0" w:type="auto"/>
            <w:hideMark/>
          </w:tcPr>
          <w:p w14:paraId="6BF979A5" w14:textId="5768DF99" w:rsidR="001A717D" w:rsidRPr="00415BD4"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HON</w:t>
            </w:r>
            <w:r w:rsidR="004143F6" w:rsidRPr="004143F6">
              <w:rPr>
                <w:rFonts w:asciiTheme="minorHAnsi" w:hAnsiTheme="minorHAnsi"/>
                <w:szCs w:val="22"/>
                <w:vertAlign w:val="superscript"/>
              </w:rPr>
              <w:t>3</w:t>
            </w:r>
          </w:p>
        </w:tc>
        <w:tc>
          <w:tcPr>
            <w:tcW w:w="0" w:type="auto"/>
            <w:hideMark/>
          </w:tcPr>
          <w:p w14:paraId="5CBC9644" w14:textId="77777777" w:rsidR="001A717D" w:rsidRPr="0045186B"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5186B">
              <w:rPr>
                <w:rFonts w:asciiTheme="minorHAnsi" w:hAnsiTheme="minorHAnsi"/>
                <w:szCs w:val="22"/>
              </w:rPr>
              <w:t>Honeywell</w:t>
            </w:r>
          </w:p>
        </w:tc>
        <w:tc>
          <w:tcPr>
            <w:tcW w:w="0" w:type="auto"/>
            <w:hideMark/>
          </w:tcPr>
          <w:p w14:paraId="49DD9B20" w14:textId="77777777" w:rsidR="001A717D" w:rsidRPr="0045186B" w:rsidRDefault="001A717D" w:rsidP="00F002E3">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5594EE18"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hideMark/>
          </w:tcPr>
          <w:p w14:paraId="4D7EF5E5"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$195-$267</w:t>
            </w:r>
          </w:p>
        </w:tc>
        <w:tc>
          <w:tcPr>
            <w:tcW w:w="0" w:type="auto"/>
            <w:shd w:val="clear" w:color="auto" w:fill="B3E5A1" w:themeFill="accent6" w:themeFillTint="66"/>
            <w:hideMark/>
          </w:tcPr>
          <w:p w14:paraId="1AAC309B" w14:textId="5F18BA3F" w:rsidR="001A717D" w:rsidRPr="004143F6" w:rsidRDefault="001A717D" w:rsidP="00F459E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43F6">
              <w:rPr>
                <w:rFonts w:asciiTheme="minorHAnsi" w:hAnsiTheme="minorHAnsi"/>
                <w:szCs w:val="22"/>
              </w:rPr>
              <w:t>$239</w:t>
            </w:r>
          </w:p>
        </w:tc>
        <w:tc>
          <w:tcPr>
            <w:tcW w:w="0" w:type="auto"/>
            <w:hideMark/>
          </w:tcPr>
          <w:p w14:paraId="5AD158B0" w14:textId="77777777" w:rsidR="001A717D" w:rsidRPr="0045186B"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21.8%</w:t>
            </w:r>
          </w:p>
        </w:tc>
      </w:tr>
      <w:tr w:rsidR="004143F6" w:rsidRPr="0045186B" w14:paraId="4D3CE8DC"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1B77420" w14:textId="385E0061" w:rsidR="001A717D" w:rsidRDefault="001A717D">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tcPr>
          <w:p w14:paraId="05EECABE" w14:textId="77777777" w:rsidR="001A717D" w:rsidRPr="00415BD4"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BLDR</w:t>
            </w:r>
          </w:p>
        </w:tc>
        <w:tc>
          <w:tcPr>
            <w:tcW w:w="0" w:type="auto"/>
          </w:tcPr>
          <w:p w14:paraId="34E489B4" w14:textId="77777777" w:rsidR="001A717D"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Builders Firstsource</w:t>
            </w:r>
          </w:p>
        </w:tc>
        <w:tc>
          <w:tcPr>
            <w:tcW w:w="0" w:type="auto"/>
          </w:tcPr>
          <w:p w14:paraId="3E839E73" w14:textId="77777777" w:rsidR="001A717D" w:rsidRDefault="001A717D"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5A62765F"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0.77</w:t>
            </w:r>
          </w:p>
        </w:tc>
        <w:tc>
          <w:tcPr>
            <w:tcW w:w="0" w:type="auto"/>
          </w:tcPr>
          <w:p w14:paraId="0E63F720"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$109-$166</w:t>
            </w:r>
          </w:p>
        </w:tc>
        <w:tc>
          <w:tcPr>
            <w:tcW w:w="0" w:type="auto"/>
          </w:tcPr>
          <w:p w14:paraId="2C0C4D95" w14:textId="0CACF6B3" w:rsidR="001A717D" w:rsidRPr="004143F6"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43F6">
              <w:rPr>
                <w:rFonts w:asciiTheme="minorHAnsi" w:hAnsiTheme="minorHAnsi"/>
                <w:szCs w:val="22"/>
              </w:rPr>
              <w:t>$139</w:t>
            </w:r>
          </w:p>
        </w:tc>
        <w:tc>
          <w:tcPr>
            <w:tcW w:w="0" w:type="auto"/>
          </w:tcPr>
          <w:p w14:paraId="6F09277D"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32.7%</w:t>
            </w:r>
          </w:p>
        </w:tc>
      </w:tr>
      <w:tr w:rsidR="004143F6" w:rsidRPr="0045186B" w14:paraId="75CC464D" w14:textId="77777777" w:rsidTr="00EE0667">
        <w:tc>
          <w:tcPr>
            <w:cnfStyle w:val="001000000000" w:firstRow="0" w:lastRow="0" w:firstColumn="1" w:lastColumn="0" w:oddVBand="0" w:evenVBand="0" w:oddHBand="0" w:evenHBand="0" w:firstRowFirstColumn="0" w:firstRowLastColumn="0" w:lastRowFirstColumn="0" w:lastRowLastColumn="0"/>
            <w:tcW w:w="0" w:type="auto"/>
          </w:tcPr>
          <w:p w14:paraId="34BE22E7" w14:textId="2D26A091" w:rsidR="001A717D" w:rsidRPr="00F459EC" w:rsidRDefault="001A717D">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tcPr>
          <w:p w14:paraId="7D4DCFBB" w14:textId="2C328127" w:rsidR="001A717D" w:rsidRPr="00415BD4"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PWR</w:t>
            </w:r>
          </w:p>
        </w:tc>
        <w:tc>
          <w:tcPr>
            <w:tcW w:w="0" w:type="auto"/>
          </w:tcPr>
          <w:p w14:paraId="2D2734A4" w14:textId="77777777" w:rsidR="001A717D"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Quanta Services</w:t>
            </w:r>
          </w:p>
        </w:tc>
        <w:tc>
          <w:tcPr>
            <w:tcW w:w="0" w:type="auto"/>
          </w:tcPr>
          <w:p w14:paraId="541B4D38" w14:textId="77777777" w:rsidR="001A717D" w:rsidRDefault="001A717D" w:rsidP="00F002E3">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366E4EC9"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tcPr>
          <w:p w14:paraId="40D14F02"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$424-$540</w:t>
            </w:r>
          </w:p>
        </w:tc>
        <w:tc>
          <w:tcPr>
            <w:tcW w:w="0" w:type="auto"/>
            <w:shd w:val="clear" w:color="auto" w:fill="B3E5A1" w:themeFill="accent6" w:themeFillTint="66"/>
          </w:tcPr>
          <w:p w14:paraId="38D0DF56" w14:textId="77777777" w:rsidR="001A717D" w:rsidRPr="004143F6"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43F6">
              <w:rPr>
                <w:rFonts w:asciiTheme="minorHAnsi" w:hAnsiTheme="minorHAnsi"/>
                <w:szCs w:val="22"/>
              </w:rPr>
              <w:t>$497</w:t>
            </w:r>
          </w:p>
        </w:tc>
        <w:tc>
          <w:tcPr>
            <w:tcW w:w="0" w:type="auto"/>
          </w:tcPr>
          <w:p w14:paraId="4014B764"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12.9%</w:t>
            </w:r>
          </w:p>
        </w:tc>
      </w:tr>
      <w:tr w:rsidR="004143F6" w:rsidRPr="0045186B" w14:paraId="6EBD5AA8" w14:textId="77777777" w:rsidTr="00415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B1E30C" w14:textId="6F55A68C" w:rsidR="001A717D" w:rsidRPr="00F459EC" w:rsidRDefault="001A717D">
            <w:pPr>
              <w:pStyle w:val="p1"/>
              <w:rPr>
                <w:rFonts w:asciiTheme="minorHAnsi" w:hAnsiTheme="minorHAnsi"/>
                <w:szCs w:val="22"/>
              </w:rPr>
            </w:pPr>
            <w:r>
              <w:rPr>
                <w:rFonts w:asciiTheme="minorHAnsi" w:hAnsiTheme="minorHAnsi"/>
                <w:szCs w:val="22"/>
              </w:rPr>
              <w:t>7</w:t>
            </w:r>
          </w:p>
        </w:tc>
        <w:tc>
          <w:tcPr>
            <w:tcW w:w="0" w:type="auto"/>
            <w:shd w:val="clear" w:color="auto" w:fill="B3E5A1" w:themeFill="accent6" w:themeFillTint="66"/>
            <w:hideMark/>
          </w:tcPr>
          <w:p w14:paraId="1B600C91" w14:textId="77777777" w:rsidR="001A717D" w:rsidRPr="00415BD4"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GE</w:t>
            </w:r>
          </w:p>
        </w:tc>
        <w:tc>
          <w:tcPr>
            <w:tcW w:w="0" w:type="auto"/>
            <w:hideMark/>
          </w:tcPr>
          <w:p w14:paraId="4ECEDBE9" w14:textId="77777777" w:rsidR="001A717D" w:rsidRPr="0045186B"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5186B">
              <w:rPr>
                <w:rFonts w:asciiTheme="minorHAnsi" w:hAnsiTheme="minorHAnsi"/>
                <w:szCs w:val="22"/>
              </w:rPr>
              <w:t>GE Aerospace</w:t>
            </w:r>
          </w:p>
        </w:tc>
        <w:tc>
          <w:tcPr>
            <w:tcW w:w="0" w:type="auto"/>
            <w:hideMark/>
          </w:tcPr>
          <w:p w14:paraId="70D74D30" w14:textId="77777777" w:rsidR="001A717D" w:rsidRPr="0045186B" w:rsidRDefault="001A717D"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5186B">
              <w:rPr>
                <w:rFonts w:asciiTheme="minorHAnsi" w:hAnsiTheme="minorHAnsi"/>
                <w:szCs w:val="22"/>
              </w:rPr>
              <w:t>N</w:t>
            </w:r>
          </w:p>
        </w:tc>
        <w:tc>
          <w:tcPr>
            <w:tcW w:w="0" w:type="auto"/>
            <w:hideMark/>
          </w:tcPr>
          <w:p w14:paraId="0EB91896"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hideMark/>
          </w:tcPr>
          <w:p w14:paraId="6DF0E66A"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w:t>
            </w:r>
            <w:r w:rsidRPr="0045186B">
              <w:rPr>
                <w:rFonts w:asciiTheme="minorHAnsi" w:hAnsiTheme="minorHAnsi"/>
                <w:szCs w:val="22"/>
              </w:rPr>
              <w:t>309.94</w:t>
            </w:r>
          </w:p>
        </w:tc>
        <w:tc>
          <w:tcPr>
            <w:tcW w:w="0" w:type="auto"/>
            <w:hideMark/>
          </w:tcPr>
          <w:p w14:paraId="4DC46BFD" w14:textId="77777777" w:rsidR="001A717D" w:rsidRPr="004143F6"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43F6">
              <w:rPr>
                <w:rFonts w:asciiTheme="minorHAnsi" w:hAnsiTheme="minorHAnsi"/>
                <w:szCs w:val="22"/>
              </w:rPr>
              <w:t>$346</w:t>
            </w:r>
          </w:p>
        </w:tc>
        <w:tc>
          <w:tcPr>
            <w:tcW w:w="0" w:type="auto"/>
            <w:hideMark/>
          </w:tcPr>
          <w:p w14:paraId="036FAFF1" w14:textId="77777777" w:rsidR="001A717D" w:rsidRPr="0045186B"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12.3%</w:t>
            </w:r>
          </w:p>
        </w:tc>
      </w:tr>
      <w:tr w:rsidR="004143F6" w:rsidRPr="0045186B" w14:paraId="585AE9BE" w14:textId="77777777" w:rsidTr="00415BD4">
        <w:tc>
          <w:tcPr>
            <w:cnfStyle w:val="001000000000" w:firstRow="0" w:lastRow="0" w:firstColumn="1" w:lastColumn="0" w:oddVBand="0" w:evenVBand="0" w:oddHBand="0" w:evenHBand="0" w:firstRowFirstColumn="0" w:firstRowLastColumn="0" w:lastRowFirstColumn="0" w:lastRowLastColumn="0"/>
            <w:tcW w:w="0" w:type="auto"/>
          </w:tcPr>
          <w:p w14:paraId="714BE261" w14:textId="7E04442F" w:rsidR="001A717D" w:rsidRPr="00F459EC" w:rsidRDefault="001A717D">
            <w:pPr>
              <w:pStyle w:val="p1"/>
              <w:rPr>
                <w:rFonts w:asciiTheme="minorHAnsi" w:hAnsiTheme="minorHAnsi"/>
                <w:szCs w:val="22"/>
              </w:rPr>
            </w:pPr>
            <w:r>
              <w:rPr>
                <w:rFonts w:asciiTheme="minorHAnsi" w:hAnsiTheme="minorHAnsi"/>
                <w:szCs w:val="22"/>
              </w:rPr>
              <w:t>8</w:t>
            </w:r>
          </w:p>
        </w:tc>
        <w:tc>
          <w:tcPr>
            <w:tcW w:w="0" w:type="auto"/>
            <w:shd w:val="clear" w:color="auto" w:fill="B3E5A1" w:themeFill="accent6" w:themeFillTint="66"/>
          </w:tcPr>
          <w:p w14:paraId="07388D1E" w14:textId="77777777" w:rsidR="001A717D" w:rsidRPr="00415BD4"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GD</w:t>
            </w:r>
          </w:p>
        </w:tc>
        <w:tc>
          <w:tcPr>
            <w:tcW w:w="0" w:type="auto"/>
          </w:tcPr>
          <w:p w14:paraId="1F8A5E57" w14:textId="77777777" w:rsidR="001A717D"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General Dynamics</w:t>
            </w:r>
          </w:p>
        </w:tc>
        <w:tc>
          <w:tcPr>
            <w:tcW w:w="0" w:type="auto"/>
          </w:tcPr>
          <w:p w14:paraId="1A51EA0D" w14:textId="77777777" w:rsidR="001A717D" w:rsidRDefault="001A717D" w:rsidP="00F002E3">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538CC246"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tcPr>
          <w:p w14:paraId="5A05D131"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$360-$410</w:t>
            </w:r>
          </w:p>
        </w:tc>
        <w:tc>
          <w:tcPr>
            <w:tcW w:w="0" w:type="auto"/>
          </w:tcPr>
          <w:p w14:paraId="2C3735DE" w14:textId="77777777" w:rsidR="001A717D" w:rsidRPr="004143F6"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43F6">
              <w:rPr>
                <w:rFonts w:asciiTheme="minorHAnsi" w:hAnsiTheme="minorHAnsi"/>
                <w:szCs w:val="22"/>
              </w:rPr>
              <w:t>$385</w:t>
            </w:r>
          </w:p>
        </w:tc>
        <w:tc>
          <w:tcPr>
            <w:tcW w:w="0" w:type="auto"/>
          </w:tcPr>
          <w:p w14:paraId="5D1A6328"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12.1%</w:t>
            </w:r>
          </w:p>
        </w:tc>
      </w:tr>
      <w:tr w:rsidR="004143F6" w:rsidRPr="0045186B" w14:paraId="116A8F4D" w14:textId="77777777" w:rsidTr="00EE06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C613A9" w14:textId="3E5DFAAA" w:rsidR="001A717D" w:rsidRPr="00F459EC" w:rsidRDefault="001A717D">
            <w:pPr>
              <w:pStyle w:val="p1"/>
              <w:rPr>
                <w:rFonts w:asciiTheme="minorHAnsi" w:hAnsiTheme="minorHAnsi"/>
                <w:szCs w:val="22"/>
              </w:rPr>
            </w:pPr>
            <w:r>
              <w:rPr>
                <w:rFonts w:asciiTheme="minorHAnsi" w:hAnsiTheme="minorHAnsi"/>
                <w:szCs w:val="22"/>
              </w:rPr>
              <w:t>9</w:t>
            </w:r>
          </w:p>
        </w:tc>
        <w:tc>
          <w:tcPr>
            <w:tcW w:w="0" w:type="auto"/>
            <w:shd w:val="clear" w:color="auto" w:fill="B3E5A1" w:themeFill="accent6" w:themeFillTint="66"/>
          </w:tcPr>
          <w:p w14:paraId="73ED1AF9" w14:textId="77777777" w:rsidR="001A717D" w:rsidRPr="00415BD4"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green"/>
              </w:rPr>
            </w:pPr>
            <w:r w:rsidRPr="00415BD4">
              <w:rPr>
                <w:rFonts w:asciiTheme="minorHAnsi" w:hAnsiTheme="minorHAnsi"/>
                <w:szCs w:val="22"/>
              </w:rPr>
              <w:t>TT</w:t>
            </w:r>
          </w:p>
        </w:tc>
        <w:tc>
          <w:tcPr>
            <w:tcW w:w="0" w:type="auto"/>
          </w:tcPr>
          <w:p w14:paraId="6A30C7D4" w14:textId="77777777" w:rsidR="001A717D" w:rsidRPr="0045186B" w:rsidRDefault="001A717D">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Trane Technologies</w:t>
            </w:r>
          </w:p>
        </w:tc>
        <w:tc>
          <w:tcPr>
            <w:tcW w:w="0" w:type="auto"/>
          </w:tcPr>
          <w:p w14:paraId="6C6EF624" w14:textId="77777777" w:rsidR="001A717D" w:rsidRDefault="001A717D"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77E5B305"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0.91</w:t>
            </w:r>
          </w:p>
        </w:tc>
        <w:tc>
          <w:tcPr>
            <w:tcW w:w="0" w:type="auto"/>
          </w:tcPr>
          <w:p w14:paraId="4211AEE4"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$375-$550</w:t>
            </w:r>
          </w:p>
        </w:tc>
        <w:tc>
          <w:tcPr>
            <w:tcW w:w="0" w:type="auto"/>
            <w:shd w:val="clear" w:color="auto" w:fill="B3E5A1" w:themeFill="accent6" w:themeFillTint="66"/>
          </w:tcPr>
          <w:p w14:paraId="3B6F4635" w14:textId="77777777" w:rsidR="001A717D" w:rsidRPr="004143F6"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43F6">
              <w:rPr>
                <w:rFonts w:asciiTheme="minorHAnsi" w:hAnsiTheme="minorHAnsi"/>
                <w:szCs w:val="22"/>
              </w:rPr>
              <w:t>$475</w:t>
            </w:r>
          </w:p>
        </w:tc>
        <w:tc>
          <w:tcPr>
            <w:tcW w:w="0" w:type="auto"/>
          </w:tcPr>
          <w:p w14:paraId="36E52FE1" w14:textId="77777777" w:rsidR="001A717D" w:rsidRDefault="001A717D"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19.2%</w:t>
            </w:r>
          </w:p>
        </w:tc>
      </w:tr>
      <w:tr w:rsidR="004143F6" w:rsidRPr="0045186B" w14:paraId="3511712A" w14:textId="77777777" w:rsidTr="00EE0667">
        <w:tc>
          <w:tcPr>
            <w:cnfStyle w:val="001000000000" w:firstRow="0" w:lastRow="0" w:firstColumn="1" w:lastColumn="0" w:oddVBand="0" w:evenVBand="0" w:oddHBand="0" w:evenHBand="0" w:firstRowFirstColumn="0" w:firstRowLastColumn="0" w:lastRowFirstColumn="0" w:lastRowLastColumn="0"/>
            <w:tcW w:w="0" w:type="auto"/>
          </w:tcPr>
          <w:p w14:paraId="4008382B" w14:textId="77777777" w:rsidR="001A717D" w:rsidRPr="00F459EC" w:rsidRDefault="001A717D">
            <w:pPr>
              <w:pStyle w:val="p1"/>
              <w:rPr>
                <w:rFonts w:asciiTheme="minorHAnsi" w:hAnsiTheme="minorHAnsi"/>
                <w:szCs w:val="22"/>
              </w:rPr>
            </w:pPr>
            <w:r>
              <w:rPr>
                <w:rFonts w:asciiTheme="minorHAnsi" w:hAnsiTheme="minorHAnsi"/>
                <w:szCs w:val="22"/>
              </w:rPr>
              <w:t>10</w:t>
            </w:r>
          </w:p>
        </w:tc>
        <w:tc>
          <w:tcPr>
            <w:tcW w:w="0" w:type="auto"/>
          </w:tcPr>
          <w:p w14:paraId="165F9022" w14:textId="6280DA9C" w:rsidR="001A717D" w:rsidRPr="00415BD4"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E0667">
              <w:rPr>
                <w:rFonts w:asciiTheme="minorHAnsi" w:hAnsiTheme="minorHAnsi"/>
                <w:szCs w:val="22"/>
              </w:rPr>
              <w:t>HUBB</w:t>
            </w:r>
            <w:r w:rsidR="004143F6" w:rsidRPr="00EE0667">
              <w:rPr>
                <w:rFonts w:asciiTheme="minorHAnsi" w:hAnsiTheme="minorHAnsi"/>
                <w:szCs w:val="22"/>
                <w:vertAlign w:val="superscript"/>
              </w:rPr>
              <w:t>3</w:t>
            </w:r>
          </w:p>
        </w:tc>
        <w:tc>
          <w:tcPr>
            <w:tcW w:w="0" w:type="auto"/>
          </w:tcPr>
          <w:p w14:paraId="6B2918E7" w14:textId="77777777" w:rsidR="001A717D" w:rsidRPr="0045186B" w:rsidRDefault="001A717D">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Hubbell Inc.</w:t>
            </w:r>
          </w:p>
        </w:tc>
        <w:tc>
          <w:tcPr>
            <w:tcW w:w="0" w:type="auto"/>
          </w:tcPr>
          <w:p w14:paraId="22AD4ABC" w14:textId="77777777" w:rsidR="001A717D" w:rsidRDefault="001A717D" w:rsidP="00F002E3">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6D18C8AA"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0.89</w:t>
            </w:r>
          </w:p>
        </w:tc>
        <w:tc>
          <w:tcPr>
            <w:tcW w:w="0" w:type="auto"/>
          </w:tcPr>
          <w:p w14:paraId="6AD70EB4"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$450-$575</w:t>
            </w:r>
          </w:p>
        </w:tc>
        <w:tc>
          <w:tcPr>
            <w:tcW w:w="0" w:type="auto"/>
            <w:shd w:val="clear" w:color="auto" w:fill="B3E5A1" w:themeFill="accent6" w:themeFillTint="66"/>
          </w:tcPr>
          <w:p w14:paraId="575BED46" w14:textId="6A217EC7" w:rsidR="001A717D" w:rsidRPr="004143F6"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43F6">
              <w:rPr>
                <w:rFonts w:asciiTheme="minorHAnsi" w:hAnsiTheme="minorHAnsi"/>
                <w:szCs w:val="22"/>
              </w:rPr>
              <w:t>$490</w:t>
            </w:r>
          </w:p>
        </w:tc>
        <w:tc>
          <w:tcPr>
            <w:tcW w:w="0" w:type="auto"/>
          </w:tcPr>
          <w:p w14:paraId="7CAA8732" w14:textId="77777777" w:rsidR="001A717D" w:rsidRDefault="001A717D" w:rsidP="00F002E3">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5.8%</w:t>
            </w:r>
          </w:p>
        </w:tc>
      </w:tr>
      <w:tr w:rsidR="004143F6" w:rsidRPr="0045186B" w14:paraId="16AA6CD6" w14:textId="77777777" w:rsidTr="0015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7C50E7" w14:textId="555A6263" w:rsidR="00AB6588" w:rsidRDefault="00AB6588">
            <w:pPr>
              <w:pStyle w:val="p1"/>
              <w:rPr>
                <w:rFonts w:asciiTheme="minorHAnsi" w:hAnsiTheme="minorHAnsi"/>
                <w:szCs w:val="22"/>
              </w:rPr>
            </w:pPr>
            <w:r>
              <w:rPr>
                <w:rFonts w:asciiTheme="minorHAnsi" w:hAnsiTheme="minorHAnsi"/>
                <w:szCs w:val="22"/>
              </w:rPr>
              <w:t>11</w:t>
            </w:r>
          </w:p>
        </w:tc>
        <w:tc>
          <w:tcPr>
            <w:tcW w:w="0" w:type="auto"/>
          </w:tcPr>
          <w:p w14:paraId="7B388AD3" w14:textId="044F8B9C" w:rsidR="00AB6588" w:rsidRPr="00415BD4" w:rsidRDefault="00AB6588">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RTX</w:t>
            </w:r>
            <w:r w:rsidR="004143F6" w:rsidRPr="004143F6">
              <w:rPr>
                <w:rFonts w:asciiTheme="minorHAnsi" w:hAnsiTheme="minorHAnsi"/>
                <w:szCs w:val="22"/>
                <w:vertAlign w:val="superscript"/>
              </w:rPr>
              <w:t>3</w:t>
            </w:r>
          </w:p>
        </w:tc>
        <w:tc>
          <w:tcPr>
            <w:tcW w:w="0" w:type="auto"/>
          </w:tcPr>
          <w:p w14:paraId="4332C9D9" w14:textId="1578B144" w:rsidR="00AB6588" w:rsidRDefault="004669D5">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RTX Corp.</w:t>
            </w:r>
          </w:p>
        </w:tc>
        <w:tc>
          <w:tcPr>
            <w:tcW w:w="0" w:type="auto"/>
          </w:tcPr>
          <w:p w14:paraId="0E7653CA" w14:textId="523529E9" w:rsidR="00AB6588" w:rsidRDefault="004669D5" w:rsidP="00F002E3">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6C792A92" w14:textId="2E595C89" w:rsidR="00AB6588" w:rsidRDefault="004669D5"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7F631A19" w14:textId="063E5DB7" w:rsidR="00AB6588" w:rsidRDefault="00C61AD5"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$168-$215</w:t>
            </w:r>
          </w:p>
        </w:tc>
        <w:tc>
          <w:tcPr>
            <w:tcW w:w="0" w:type="auto"/>
            <w:shd w:val="clear" w:color="auto" w:fill="B3E5A1" w:themeFill="accent6" w:themeFillTint="66"/>
          </w:tcPr>
          <w:p w14:paraId="17ED230D" w14:textId="21DCB41D" w:rsidR="00AB6588" w:rsidRPr="004143F6" w:rsidRDefault="004669D5"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43F6">
              <w:rPr>
                <w:rFonts w:asciiTheme="minorHAnsi" w:hAnsiTheme="minorHAnsi"/>
                <w:szCs w:val="22"/>
              </w:rPr>
              <w:t>$209</w:t>
            </w:r>
          </w:p>
        </w:tc>
        <w:tc>
          <w:tcPr>
            <w:tcW w:w="0" w:type="auto"/>
          </w:tcPr>
          <w:p w14:paraId="7F6667D6" w14:textId="56EF8FB4" w:rsidR="00AB6588" w:rsidRDefault="004669D5" w:rsidP="00F002E3">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11.3%</w:t>
            </w:r>
          </w:p>
        </w:tc>
      </w:tr>
    </w:tbl>
    <w:p w14:paraId="73C42C87" w14:textId="77777777" w:rsidR="00B57107" w:rsidRPr="005C3B4E" w:rsidRDefault="00B57107" w:rsidP="00B57107">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6ABFDC25" w14:textId="77777777" w:rsidR="00415BD4" w:rsidRDefault="00415BD4" w:rsidP="00415BD4">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596DDBDD" w14:textId="37F77AE5" w:rsidR="00415BD4" w:rsidRPr="005C3B4E" w:rsidRDefault="00415BD4" w:rsidP="00415BD4">
      <w:pPr>
        <w:pStyle w:val="p1"/>
        <w:rPr>
          <w:sz w:val="20"/>
          <w:szCs w:val="20"/>
        </w:rPr>
      </w:pPr>
      <w:r>
        <w:rPr>
          <w:sz w:val="20"/>
          <w:szCs w:val="20"/>
          <w:vertAlign w:val="superscript"/>
        </w:rPr>
        <w:t>3</w:t>
      </w:r>
      <w:r>
        <w:rPr>
          <w:sz w:val="20"/>
          <w:szCs w:val="20"/>
        </w:rPr>
        <w:t xml:space="preserve"> </w:t>
      </w:r>
      <w:r w:rsidR="004143F6">
        <w:rPr>
          <w:sz w:val="20"/>
          <w:szCs w:val="20"/>
        </w:rPr>
        <w:t>Price rose too fast to buy.</w:t>
      </w:r>
    </w:p>
    <w:p w14:paraId="0836171D" w14:textId="0A0A0172" w:rsidR="0045186B" w:rsidRPr="00247AA7" w:rsidRDefault="00247AA7" w:rsidP="0045186B">
      <w:pPr>
        <w:pStyle w:val="p1"/>
        <w:rPr>
          <w:b/>
          <w:bCs/>
          <w:kern w:val="36"/>
          <w:sz w:val="28"/>
          <w:szCs w:val="28"/>
        </w:rPr>
      </w:pPr>
      <w:r>
        <w:rPr>
          <w:sz w:val="20"/>
          <w:szCs w:val="20"/>
        </w:rPr>
        <w:t>Notes: Tickers highlighted green were selected.  Thesis 1-year targets highlighted in green were achieved during calendar year 2026.</w:t>
      </w:r>
    </w:p>
    <w:p w14:paraId="08F276DE" w14:textId="1E215A33" w:rsidR="00C23D3F" w:rsidRDefault="00C23D3F">
      <w:pPr>
        <w:rPr>
          <w:b/>
          <w:bCs/>
          <w:kern w:val="36"/>
          <w:sz w:val="28"/>
          <w:szCs w:val="28"/>
        </w:rPr>
      </w:pPr>
      <w:r>
        <w:rPr>
          <w:b/>
          <w:bCs/>
          <w:kern w:val="36"/>
          <w:sz w:val="28"/>
          <w:szCs w:val="28"/>
        </w:rPr>
        <w:br w:type="page"/>
      </w:r>
    </w:p>
    <w:p w14:paraId="17BEF50E" w14:textId="556B1ADD" w:rsidR="009F312F" w:rsidRDefault="009F312F" w:rsidP="009B48AB">
      <w:pPr>
        <w:pStyle w:val="Heading3"/>
      </w:pPr>
      <w:r>
        <w:lastRenderedPageBreak/>
        <w:t>Materials Sector Outlook:</w:t>
      </w:r>
    </w:p>
    <w:p w14:paraId="0325B8EA" w14:textId="77777777" w:rsidR="001C2EDC" w:rsidRPr="005C3B4E" w:rsidRDefault="001C2EDC" w:rsidP="001C2EDC">
      <w:pPr>
        <w:pStyle w:val="p1"/>
      </w:pPr>
      <w:r w:rsidRPr="005C3B4E">
        <w:t xml:space="preserve">The Materials sector enters 2026 in a </w:t>
      </w:r>
      <w:r w:rsidRPr="005C3B4E">
        <w:rPr>
          <w:rStyle w:val="s1"/>
          <w:rFonts w:eastAsiaTheme="majorEastAsia"/>
        </w:rPr>
        <w:t>more stable, constructive, but increasingly bifurcated position</w:t>
      </w:r>
      <w:r w:rsidRPr="005C3B4E">
        <w:t xml:space="preserve"> compared with early 2025. Easing inflation and selectively improving financing conditions support demand, though structurally higher long-term yields—driven by elevated sovereign borrowing—keep capital allocation disciplined and discourage speculative capacity expansion. Supply chains continue to normalize after the volatility of the early 2020s, reducing extreme swings in raw-material pricing, while global manufacturing activity and infrastructure investment provide a firmer demand baseline. Energy-cost stability, particularly in natural gas and electricity, improves margins for energy-intensive producers, favoring operators with advantaged feedstocks, efficient logistics, and geographic diversification.</w:t>
      </w:r>
    </w:p>
    <w:p w14:paraId="29BCAD1B" w14:textId="77777777" w:rsidR="001C2EDC" w:rsidRPr="005C3B4E" w:rsidRDefault="001C2EDC" w:rsidP="001C2EDC">
      <w:pPr>
        <w:pStyle w:val="p1"/>
      </w:pPr>
      <w:r w:rsidRPr="005C3B4E">
        <w:t xml:space="preserve">By mid-2026, materials demand is increasingly shaped by </w:t>
      </w:r>
      <w:r w:rsidRPr="005C3B4E">
        <w:rPr>
          <w:rStyle w:val="s1"/>
          <w:rFonts w:eastAsiaTheme="majorEastAsia"/>
        </w:rPr>
        <w:t>multi-year capex cycles</w:t>
      </w:r>
      <w:r w:rsidRPr="005C3B4E">
        <w:t xml:space="preserve"> tied to AI-driven data centers, grid modernization, electrification, defense-adjacent manufacturing, and selective reshoring. As a result, </w:t>
      </w:r>
      <w:r w:rsidRPr="005C3B4E">
        <w:rPr>
          <w:rStyle w:val="s1"/>
          <w:rFonts w:eastAsiaTheme="majorEastAsia"/>
        </w:rPr>
        <w:t>specialty and performance materials significantly outperform bulk commodities</w:t>
      </w:r>
      <w:r w:rsidRPr="005C3B4E">
        <w:t>. Strong demand emerges for copper, specialty alloys, advanced polymers, industrial gases, coatings, insulation, thermal-management materials, battery inputs, and semiconductor-adjacent chemicals—inputs that relieve bottlenecks in constrained systems rather than simply adding volume. Public-sector fiscal constraints limit broad stimulus, shifting demand toward mission-critical infrastructure, private-sector investment, and regulated or rate-base-supported projects rather than traditional cyclical construction booms.</w:t>
      </w:r>
    </w:p>
    <w:p w14:paraId="1346B8F5" w14:textId="77777777" w:rsidR="001C2EDC" w:rsidRDefault="001C2EDC" w:rsidP="001C2EDC">
      <w:pPr>
        <w:pStyle w:val="p1"/>
      </w:pPr>
      <w:r>
        <w:t>Climate risk and geopolitical fragmentation remain defining forces. Reconstruction following extreme weather events supports cement, aggregates, roofing, insulation, and engineered building products, particularly in North America, while climate volatility raises operational risk for mining, water-intensive chemical production, and transport networks. Geopolitical tensions—especially U.S.–China competition and instability in Eastern Europe and the Middle East—keep supply chains for copper, lithium, rare earths, and other critical minerals unstable, reinforcing national efforts to localize or ally-source refining and processing capacity. Metals and mining benefit selectively from tightening supply chains and diversification policies, with copper increasingly viewed as structurally constrained, while chemicals face a more mixed environment due to lingering overcapacity and uneven end-market recovery.</w:t>
      </w:r>
    </w:p>
    <w:p w14:paraId="745DC122" w14:textId="77777777" w:rsidR="001C2EDC" w:rsidRPr="005C3B4E" w:rsidRDefault="001C2EDC" w:rsidP="001C2EDC">
      <w:pPr>
        <w:pStyle w:val="p1"/>
      </w:pPr>
      <w:r w:rsidRPr="005C3B4E">
        <w:t xml:space="preserve">By late 2026, the sector’s performance dispersion is pronounced. </w:t>
      </w:r>
      <w:r w:rsidRPr="005C3B4E">
        <w:rPr>
          <w:rStyle w:val="s1"/>
          <w:rFonts w:eastAsiaTheme="majorEastAsia"/>
        </w:rPr>
        <w:t>High-value, scarcity-exposed, and infrastructure-aligned materials outperform</w:t>
      </w:r>
      <w:r w:rsidRPr="005C3B4E">
        <w:t xml:space="preserve">, while volume-driven bulk commodities lag absent a synchronized global construction boom. Companies tied to electrification, data-center </w:t>
      </w:r>
      <w:proofErr w:type="gramStart"/>
      <w:r w:rsidRPr="005C3B4E">
        <w:t>build-outs</w:t>
      </w:r>
      <w:proofErr w:type="gramEnd"/>
      <w:r w:rsidRPr="005C3B4E">
        <w:t>, grid expansion, and climate resilience generate the strongest earnings growth, while traditional steel, aluminum, and basic chemicals operate in healthier conditions than 2024–2025 but remain vulnerable to oversupply, Chinese production policy, and capital-cost sensitivity. Overall, the Materials sector in 2026 is more resilient and strategically important, but returns are concentrated among firms that monetize constraint relief, technological leverage, and critical-input scarcity rather than broad commodity exposure.</w:t>
      </w:r>
    </w:p>
    <w:p w14:paraId="363E1295" w14:textId="77777777" w:rsidR="001C2EDC" w:rsidRDefault="001C2EDC" w:rsidP="0043369F">
      <w:pPr>
        <w:pStyle w:val="p3"/>
        <w:rPr>
          <w:b/>
          <w:bCs/>
        </w:rPr>
      </w:pPr>
    </w:p>
    <w:p w14:paraId="34601F2D" w14:textId="77777777" w:rsidR="001C2EDC" w:rsidRDefault="001C2EDC" w:rsidP="0043369F">
      <w:pPr>
        <w:pStyle w:val="p3"/>
        <w:rPr>
          <w:b/>
          <w:bCs/>
        </w:rPr>
      </w:pPr>
    </w:p>
    <w:p w14:paraId="01AE8741" w14:textId="656E2BB4" w:rsidR="0043369F" w:rsidRPr="00DF7A3B" w:rsidRDefault="0043369F" w:rsidP="00CB7145">
      <w:pPr>
        <w:pStyle w:val="p3"/>
        <w:rPr>
          <w:rStyle w:val="s1"/>
        </w:rPr>
      </w:pPr>
      <w:r>
        <w:rPr>
          <w:b/>
          <w:bCs/>
        </w:rPr>
        <w:t xml:space="preserve">Top </w:t>
      </w:r>
      <w:r w:rsidR="001B23F3">
        <w:rPr>
          <w:b/>
          <w:bCs/>
        </w:rPr>
        <w:t>M</w:t>
      </w:r>
      <w:r>
        <w:rPr>
          <w:b/>
          <w:bCs/>
        </w:rPr>
        <w:t>aterials companies positioned for 2026:</w:t>
      </w:r>
    </w:p>
    <w:tbl>
      <w:tblPr>
        <w:tblStyle w:val="ListTable4-Accent4"/>
        <w:tblW w:w="0" w:type="auto"/>
        <w:tblLook w:val="04A0" w:firstRow="1" w:lastRow="0" w:firstColumn="1" w:lastColumn="0" w:noHBand="0" w:noVBand="1"/>
      </w:tblPr>
      <w:tblGrid>
        <w:gridCol w:w="766"/>
        <w:gridCol w:w="786"/>
        <w:gridCol w:w="2170"/>
        <w:gridCol w:w="1255"/>
        <w:gridCol w:w="1161"/>
        <w:gridCol w:w="1474"/>
        <w:gridCol w:w="1009"/>
        <w:gridCol w:w="1089"/>
      </w:tblGrid>
      <w:tr w:rsidR="00EB3615" w:rsidRPr="00DF7A3B" w14:paraId="668066E3" w14:textId="77777777" w:rsidTr="009B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FABE67" w14:textId="77777777" w:rsidR="009D7CF0" w:rsidRPr="00DF7A3B" w:rsidRDefault="009D7CF0" w:rsidP="00EB717F">
            <w:pPr>
              <w:pStyle w:val="p1"/>
              <w:jc w:val="center"/>
              <w:rPr>
                <w:rFonts w:asciiTheme="minorHAnsi" w:hAnsiTheme="minorHAnsi"/>
                <w:szCs w:val="22"/>
              </w:rPr>
            </w:pPr>
            <w:r w:rsidRPr="00DF7A3B">
              <w:rPr>
                <w:rFonts w:asciiTheme="minorHAnsi" w:hAnsiTheme="minorHAnsi"/>
                <w:b w:val="0"/>
                <w:bCs w:val="0"/>
                <w:szCs w:val="22"/>
              </w:rPr>
              <w:t>Rank</w:t>
            </w:r>
            <w:r w:rsidRPr="00EB717F">
              <w:rPr>
                <w:rFonts w:asciiTheme="minorHAnsi" w:hAnsiTheme="minorHAnsi"/>
                <w:b w:val="0"/>
                <w:bCs w:val="0"/>
                <w:szCs w:val="22"/>
                <w:vertAlign w:val="superscript"/>
              </w:rPr>
              <w:t>1</w:t>
            </w:r>
          </w:p>
        </w:tc>
        <w:tc>
          <w:tcPr>
            <w:tcW w:w="0" w:type="auto"/>
            <w:hideMark/>
          </w:tcPr>
          <w:p w14:paraId="4E6738C7"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DF7A3B">
              <w:rPr>
                <w:rFonts w:asciiTheme="minorHAnsi" w:hAnsiTheme="minorHAnsi"/>
                <w:b w:val="0"/>
                <w:bCs w:val="0"/>
                <w:szCs w:val="22"/>
              </w:rPr>
              <w:t>Ticker</w:t>
            </w:r>
          </w:p>
        </w:tc>
        <w:tc>
          <w:tcPr>
            <w:tcW w:w="0" w:type="auto"/>
            <w:hideMark/>
          </w:tcPr>
          <w:p w14:paraId="68FA0F72"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DF7A3B">
              <w:rPr>
                <w:rFonts w:asciiTheme="minorHAnsi" w:hAnsiTheme="minorHAnsi"/>
                <w:b w:val="0"/>
                <w:bCs w:val="0"/>
                <w:szCs w:val="22"/>
              </w:rPr>
              <w:t>Company</w:t>
            </w:r>
          </w:p>
        </w:tc>
        <w:tc>
          <w:tcPr>
            <w:tcW w:w="0" w:type="auto"/>
            <w:hideMark/>
          </w:tcPr>
          <w:p w14:paraId="5C2F6A7E"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Top 5 (Return)</w:t>
            </w:r>
          </w:p>
        </w:tc>
        <w:tc>
          <w:tcPr>
            <w:tcW w:w="0" w:type="auto"/>
            <w:hideMark/>
          </w:tcPr>
          <w:p w14:paraId="22155B10"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28532EE2"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Analyst 1-yr target</w:t>
            </w:r>
          </w:p>
        </w:tc>
        <w:tc>
          <w:tcPr>
            <w:tcW w:w="0" w:type="auto"/>
            <w:hideMark/>
          </w:tcPr>
          <w:p w14:paraId="1A3A652D"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1-yr target</w:t>
            </w:r>
          </w:p>
        </w:tc>
        <w:tc>
          <w:tcPr>
            <w:tcW w:w="0" w:type="auto"/>
            <w:hideMark/>
          </w:tcPr>
          <w:p w14:paraId="4D48375A" w14:textId="77777777" w:rsidR="009D7CF0" w:rsidRPr="00DF7A3B" w:rsidRDefault="009D7CF0" w:rsidP="00EB717F">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Pr>
                <w:rFonts w:asciiTheme="minorHAnsi" w:hAnsiTheme="minorHAnsi"/>
                <w:b w:val="0"/>
                <w:bCs w:val="0"/>
                <w:sz w:val="20"/>
                <w:szCs w:val="20"/>
              </w:rPr>
              <w:br/>
              <w:t>(Thesis)</w:t>
            </w:r>
          </w:p>
        </w:tc>
      </w:tr>
      <w:tr w:rsidR="00EB3615" w:rsidRPr="00DF7A3B" w14:paraId="7F87FFEE" w14:textId="77777777" w:rsidTr="00415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F80195" w14:textId="77777777" w:rsidR="009D7CF0" w:rsidRPr="00DF7A3B" w:rsidRDefault="009D7CF0">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hideMark/>
          </w:tcPr>
          <w:p w14:paraId="53619947" w14:textId="3D91C200" w:rsidR="009D7CF0" w:rsidRPr="00415BD4"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VMC</w:t>
            </w:r>
          </w:p>
        </w:tc>
        <w:tc>
          <w:tcPr>
            <w:tcW w:w="0" w:type="auto"/>
            <w:hideMark/>
          </w:tcPr>
          <w:p w14:paraId="62422510" w14:textId="77777777" w:rsidR="009D7CF0" w:rsidRPr="00DF7A3B"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F7A3B">
              <w:rPr>
                <w:rFonts w:asciiTheme="minorHAnsi" w:hAnsiTheme="minorHAnsi"/>
                <w:szCs w:val="22"/>
              </w:rPr>
              <w:t>Vulcan Materials</w:t>
            </w:r>
          </w:p>
        </w:tc>
        <w:tc>
          <w:tcPr>
            <w:tcW w:w="0" w:type="auto"/>
            <w:hideMark/>
          </w:tcPr>
          <w:p w14:paraId="1E94C2B6" w14:textId="77777777" w:rsidR="009D7CF0" w:rsidRPr="00DF7A3B" w:rsidRDefault="009D7CF0" w:rsidP="00396CC2">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4BFE892C"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hideMark/>
          </w:tcPr>
          <w:p w14:paraId="7EE13AA4"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$311-$370</w:t>
            </w:r>
          </w:p>
        </w:tc>
        <w:tc>
          <w:tcPr>
            <w:tcW w:w="0" w:type="auto"/>
            <w:hideMark/>
          </w:tcPr>
          <w:p w14:paraId="2193A7BB"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$335</w:t>
            </w:r>
          </w:p>
        </w:tc>
        <w:tc>
          <w:tcPr>
            <w:tcW w:w="0" w:type="auto"/>
            <w:hideMark/>
          </w:tcPr>
          <w:p w14:paraId="3896780B"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14.6%</w:t>
            </w:r>
          </w:p>
        </w:tc>
      </w:tr>
      <w:tr w:rsidR="00EB3615" w:rsidRPr="00DF7A3B" w14:paraId="6A96E96F" w14:textId="77777777" w:rsidTr="00AD3E10">
        <w:tc>
          <w:tcPr>
            <w:cnfStyle w:val="001000000000" w:firstRow="0" w:lastRow="0" w:firstColumn="1" w:lastColumn="0" w:oddVBand="0" w:evenVBand="0" w:oddHBand="0" w:evenHBand="0" w:firstRowFirstColumn="0" w:firstRowLastColumn="0" w:lastRowFirstColumn="0" w:lastRowLastColumn="0"/>
            <w:tcW w:w="0" w:type="auto"/>
            <w:hideMark/>
          </w:tcPr>
          <w:p w14:paraId="1F7247AC" w14:textId="77777777" w:rsidR="009D7CF0" w:rsidRPr="00DF7A3B" w:rsidRDefault="009D7CF0">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hideMark/>
          </w:tcPr>
          <w:p w14:paraId="7E344ED9" w14:textId="1BCC4EAC" w:rsidR="009D7CF0" w:rsidRPr="00415BD4"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LIN</w:t>
            </w:r>
          </w:p>
        </w:tc>
        <w:tc>
          <w:tcPr>
            <w:tcW w:w="0" w:type="auto"/>
            <w:hideMark/>
          </w:tcPr>
          <w:p w14:paraId="37C1D1F8" w14:textId="77777777" w:rsidR="009D7CF0" w:rsidRPr="00DF7A3B"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7A3B">
              <w:rPr>
                <w:rFonts w:asciiTheme="minorHAnsi" w:hAnsiTheme="minorHAnsi"/>
                <w:szCs w:val="22"/>
              </w:rPr>
              <w:t>Linde</w:t>
            </w:r>
          </w:p>
        </w:tc>
        <w:tc>
          <w:tcPr>
            <w:tcW w:w="0" w:type="auto"/>
            <w:hideMark/>
          </w:tcPr>
          <w:p w14:paraId="21A0E998" w14:textId="77777777" w:rsidR="009D7CF0" w:rsidRPr="00DF7A3B" w:rsidRDefault="009D7CF0" w:rsidP="00396CC2">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352E1F2C"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0.91</w:t>
            </w:r>
          </w:p>
        </w:tc>
        <w:tc>
          <w:tcPr>
            <w:tcW w:w="0" w:type="auto"/>
            <w:hideMark/>
          </w:tcPr>
          <w:p w14:paraId="456EA23E"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$455-$540</w:t>
            </w:r>
          </w:p>
        </w:tc>
        <w:tc>
          <w:tcPr>
            <w:tcW w:w="0" w:type="auto"/>
            <w:shd w:val="clear" w:color="auto" w:fill="B3E5A1" w:themeFill="accent6" w:themeFillTint="66"/>
            <w:hideMark/>
          </w:tcPr>
          <w:p w14:paraId="4052F466"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$508</w:t>
            </w:r>
          </w:p>
        </w:tc>
        <w:tc>
          <w:tcPr>
            <w:tcW w:w="0" w:type="auto"/>
            <w:hideMark/>
          </w:tcPr>
          <w:p w14:paraId="4976B8A8"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18.3%</w:t>
            </w:r>
          </w:p>
        </w:tc>
      </w:tr>
      <w:tr w:rsidR="00EB3615" w:rsidRPr="00DF7A3B" w14:paraId="70050E77" w14:textId="77777777" w:rsidTr="00415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A863073" w14:textId="77777777" w:rsidR="009D7CF0" w:rsidRPr="00DF7A3B" w:rsidRDefault="009D7CF0">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48FD7F8C" w14:textId="77777777" w:rsidR="009D7CF0" w:rsidRPr="00415BD4"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APD</w:t>
            </w:r>
          </w:p>
        </w:tc>
        <w:tc>
          <w:tcPr>
            <w:tcW w:w="0" w:type="auto"/>
          </w:tcPr>
          <w:p w14:paraId="4012FA8C" w14:textId="77777777" w:rsidR="009D7CF0" w:rsidRPr="00DF7A3B"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Air Products &amp; Chem. Inc.</w:t>
            </w:r>
          </w:p>
        </w:tc>
        <w:tc>
          <w:tcPr>
            <w:tcW w:w="0" w:type="auto"/>
          </w:tcPr>
          <w:p w14:paraId="33229AC9" w14:textId="77777777" w:rsidR="009D7CF0" w:rsidRPr="00DF7A3B" w:rsidRDefault="009D7CF0" w:rsidP="00396CC2">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5198E743"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0" w:type="auto"/>
          </w:tcPr>
          <w:p w14:paraId="71ECD1CC"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$245-$345</w:t>
            </w:r>
          </w:p>
        </w:tc>
        <w:tc>
          <w:tcPr>
            <w:tcW w:w="0" w:type="auto"/>
          </w:tcPr>
          <w:p w14:paraId="253984DC"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$305</w:t>
            </w:r>
          </w:p>
        </w:tc>
        <w:tc>
          <w:tcPr>
            <w:tcW w:w="0" w:type="auto"/>
          </w:tcPr>
          <w:p w14:paraId="2AAAA83E"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21.8%</w:t>
            </w:r>
          </w:p>
        </w:tc>
      </w:tr>
      <w:tr w:rsidR="00EB3615" w:rsidRPr="00DF7A3B" w14:paraId="3D373152" w14:textId="77777777" w:rsidTr="0015292C">
        <w:tc>
          <w:tcPr>
            <w:cnfStyle w:val="001000000000" w:firstRow="0" w:lastRow="0" w:firstColumn="1" w:lastColumn="0" w:oddVBand="0" w:evenVBand="0" w:oddHBand="0" w:evenHBand="0" w:firstRowFirstColumn="0" w:firstRowLastColumn="0" w:lastRowFirstColumn="0" w:lastRowLastColumn="0"/>
            <w:tcW w:w="0" w:type="auto"/>
          </w:tcPr>
          <w:p w14:paraId="0D08D110" w14:textId="6F50E1E4" w:rsidR="009D7CF0" w:rsidRDefault="009D7CF0">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tcPr>
          <w:p w14:paraId="26490098" w14:textId="77777777" w:rsidR="009D7CF0" w:rsidRPr="00415BD4"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SHW</w:t>
            </w:r>
          </w:p>
        </w:tc>
        <w:tc>
          <w:tcPr>
            <w:tcW w:w="0" w:type="auto"/>
          </w:tcPr>
          <w:p w14:paraId="59A8A062" w14:textId="77777777" w:rsidR="009D7CF0" w:rsidRPr="00DF7A3B"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Sherwin-Williams</w:t>
            </w:r>
          </w:p>
        </w:tc>
        <w:tc>
          <w:tcPr>
            <w:tcW w:w="0" w:type="auto"/>
          </w:tcPr>
          <w:p w14:paraId="351DAF49" w14:textId="77777777" w:rsidR="009D7CF0" w:rsidRDefault="009D7CF0" w:rsidP="00396CC2">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4EDA5BA2" w14:textId="77777777" w:rsidR="009D7CF0"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0.81</w:t>
            </w:r>
          </w:p>
        </w:tc>
        <w:tc>
          <w:tcPr>
            <w:tcW w:w="0" w:type="auto"/>
          </w:tcPr>
          <w:p w14:paraId="29FA4712" w14:textId="77777777" w:rsidR="009D7CF0"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$385-$422</w:t>
            </w:r>
          </w:p>
        </w:tc>
        <w:tc>
          <w:tcPr>
            <w:tcW w:w="0" w:type="auto"/>
          </w:tcPr>
          <w:p w14:paraId="018542A1" w14:textId="77777777" w:rsidR="009D7CF0"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$398</w:t>
            </w:r>
          </w:p>
        </w:tc>
        <w:tc>
          <w:tcPr>
            <w:tcW w:w="0" w:type="auto"/>
          </w:tcPr>
          <w:p w14:paraId="7059B9BB" w14:textId="77777777" w:rsidR="009D7CF0"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21.2%</w:t>
            </w:r>
          </w:p>
        </w:tc>
      </w:tr>
      <w:tr w:rsidR="00EB3615" w:rsidRPr="00DF7A3B" w14:paraId="5B5C975A" w14:textId="77777777" w:rsidTr="0015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6BFBDF" w14:textId="7572C09F" w:rsidR="009D7CF0" w:rsidRPr="00DF7A3B" w:rsidRDefault="009D7CF0">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tcPr>
          <w:p w14:paraId="0EAA4EC4" w14:textId="77777777" w:rsidR="009D7CF0" w:rsidRPr="00415BD4"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CTVA</w:t>
            </w:r>
          </w:p>
        </w:tc>
        <w:tc>
          <w:tcPr>
            <w:tcW w:w="0" w:type="auto"/>
          </w:tcPr>
          <w:p w14:paraId="369C63E2" w14:textId="77777777" w:rsidR="009D7CF0" w:rsidRPr="00DF7A3B"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Corteva Inc.</w:t>
            </w:r>
          </w:p>
        </w:tc>
        <w:tc>
          <w:tcPr>
            <w:tcW w:w="0" w:type="auto"/>
          </w:tcPr>
          <w:p w14:paraId="28B0B529" w14:textId="77777777" w:rsidR="009D7CF0" w:rsidRPr="00DF7A3B" w:rsidRDefault="009D7CF0" w:rsidP="00396CC2">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1E22BA7E"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0.78</w:t>
            </w:r>
          </w:p>
        </w:tc>
        <w:tc>
          <w:tcPr>
            <w:tcW w:w="0" w:type="auto"/>
          </w:tcPr>
          <w:p w14:paraId="35592A06"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$68-$86</w:t>
            </w:r>
          </w:p>
        </w:tc>
        <w:tc>
          <w:tcPr>
            <w:tcW w:w="0" w:type="auto"/>
            <w:shd w:val="clear" w:color="auto" w:fill="B3E5A1" w:themeFill="accent6" w:themeFillTint="66"/>
          </w:tcPr>
          <w:p w14:paraId="38ADEF23" w14:textId="4F687257" w:rsidR="009D7CF0" w:rsidRPr="00EB3615"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EB3615">
              <w:rPr>
                <w:rFonts w:asciiTheme="minorHAnsi" w:hAnsiTheme="minorHAnsi"/>
                <w:szCs w:val="22"/>
              </w:rPr>
              <w:t>$78</w:t>
            </w:r>
          </w:p>
        </w:tc>
        <w:tc>
          <w:tcPr>
            <w:tcW w:w="0" w:type="auto"/>
          </w:tcPr>
          <w:p w14:paraId="03BBEC15"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15.1%</w:t>
            </w:r>
          </w:p>
        </w:tc>
      </w:tr>
      <w:tr w:rsidR="00EB3615" w:rsidRPr="00DF7A3B" w14:paraId="3FF348B2" w14:textId="77777777" w:rsidTr="0015292C">
        <w:tc>
          <w:tcPr>
            <w:cnfStyle w:val="001000000000" w:firstRow="0" w:lastRow="0" w:firstColumn="1" w:lastColumn="0" w:oddVBand="0" w:evenVBand="0" w:oddHBand="0" w:evenHBand="0" w:firstRowFirstColumn="0" w:firstRowLastColumn="0" w:lastRowFirstColumn="0" w:lastRowLastColumn="0"/>
            <w:tcW w:w="0" w:type="auto"/>
            <w:hideMark/>
          </w:tcPr>
          <w:p w14:paraId="0A273A9B" w14:textId="77777777" w:rsidR="009D7CF0" w:rsidRPr="00DF7A3B" w:rsidRDefault="009D7CF0">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hideMark/>
          </w:tcPr>
          <w:p w14:paraId="1DFFF6CC" w14:textId="77777777" w:rsidR="009D7CF0" w:rsidRPr="00415BD4"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MLM</w:t>
            </w:r>
          </w:p>
        </w:tc>
        <w:tc>
          <w:tcPr>
            <w:tcW w:w="0" w:type="auto"/>
            <w:hideMark/>
          </w:tcPr>
          <w:p w14:paraId="7FABA335" w14:textId="77777777" w:rsidR="009D7CF0" w:rsidRPr="00DF7A3B"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7A3B">
              <w:rPr>
                <w:rFonts w:asciiTheme="minorHAnsi" w:hAnsiTheme="minorHAnsi"/>
                <w:szCs w:val="22"/>
              </w:rPr>
              <w:t>Martin Marietta Materials</w:t>
            </w:r>
          </w:p>
        </w:tc>
        <w:tc>
          <w:tcPr>
            <w:tcW w:w="0" w:type="auto"/>
            <w:hideMark/>
          </w:tcPr>
          <w:p w14:paraId="76A123CF" w14:textId="77777777" w:rsidR="009D7CF0" w:rsidRPr="00DF7A3B" w:rsidRDefault="009D7CF0" w:rsidP="00396CC2">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EE7AA45"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hideMark/>
          </w:tcPr>
          <w:p w14:paraId="387BEC76"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$605-$732</w:t>
            </w:r>
          </w:p>
        </w:tc>
        <w:tc>
          <w:tcPr>
            <w:tcW w:w="0" w:type="auto"/>
            <w:shd w:val="clear" w:color="auto" w:fill="B3E5A1" w:themeFill="accent6" w:themeFillTint="66"/>
            <w:hideMark/>
          </w:tcPr>
          <w:p w14:paraId="052B4B14" w14:textId="77777777" w:rsidR="009D7CF0" w:rsidRPr="00EB3615"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B3615">
              <w:rPr>
                <w:rFonts w:asciiTheme="minorHAnsi" w:hAnsiTheme="minorHAnsi"/>
                <w:szCs w:val="22"/>
              </w:rPr>
              <w:t>$683</w:t>
            </w:r>
          </w:p>
        </w:tc>
        <w:tc>
          <w:tcPr>
            <w:tcW w:w="0" w:type="auto"/>
            <w:hideMark/>
          </w:tcPr>
          <w:p w14:paraId="68EBFA6E"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7.6%</w:t>
            </w:r>
          </w:p>
        </w:tc>
      </w:tr>
      <w:tr w:rsidR="00EB3615" w:rsidRPr="00DF7A3B" w14:paraId="79F5207A" w14:textId="77777777" w:rsidTr="00415B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3389C5E" w14:textId="77777777" w:rsidR="009D7CF0" w:rsidRPr="00DF7A3B" w:rsidRDefault="009D7CF0">
            <w:pPr>
              <w:pStyle w:val="p1"/>
              <w:rPr>
                <w:rFonts w:asciiTheme="minorHAnsi" w:hAnsiTheme="minorHAnsi"/>
                <w:szCs w:val="22"/>
              </w:rPr>
            </w:pPr>
            <w:r>
              <w:rPr>
                <w:rFonts w:asciiTheme="minorHAnsi" w:hAnsiTheme="minorHAnsi"/>
                <w:szCs w:val="22"/>
              </w:rPr>
              <w:t>7</w:t>
            </w:r>
          </w:p>
        </w:tc>
        <w:tc>
          <w:tcPr>
            <w:tcW w:w="0" w:type="auto"/>
            <w:shd w:val="clear" w:color="auto" w:fill="B3E5A1" w:themeFill="accent6" w:themeFillTint="66"/>
          </w:tcPr>
          <w:p w14:paraId="5DD3BBD5" w14:textId="77777777" w:rsidR="009D7CF0" w:rsidRPr="00415BD4"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CRH</w:t>
            </w:r>
          </w:p>
        </w:tc>
        <w:tc>
          <w:tcPr>
            <w:tcW w:w="0" w:type="auto"/>
          </w:tcPr>
          <w:p w14:paraId="1ED9B39F" w14:textId="77777777" w:rsidR="009D7CF0" w:rsidRPr="00DF7A3B"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CRH Plc</w:t>
            </w:r>
          </w:p>
        </w:tc>
        <w:tc>
          <w:tcPr>
            <w:tcW w:w="0" w:type="auto"/>
          </w:tcPr>
          <w:p w14:paraId="20CC9B0D" w14:textId="77777777" w:rsidR="009D7CF0" w:rsidRPr="00DF7A3B" w:rsidRDefault="009D7CF0" w:rsidP="00396CC2">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646515B7"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tcPr>
          <w:p w14:paraId="14FEFF13"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$131-$164</w:t>
            </w:r>
          </w:p>
        </w:tc>
        <w:tc>
          <w:tcPr>
            <w:tcW w:w="0" w:type="auto"/>
          </w:tcPr>
          <w:p w14:paraId="158C3D78" w14:textId="77777777" w:rsidR="009D7CF0" w:rsidRPr="00EB3615"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EB3615">
              <w:rPr>
                <w:rFonts w:asciiTheme="minorHAnsi" w:hAnsiTheme="minorHAnsi"/>
                <w:szCs w:val="22"/>
              </w:rPr>
              <w:t>$145</w:t>
            </w:r>
          </w:p>
        </w:tc>
        <w:tc>
          <w:tcPr>
            <w:tcW w:w="0" w:type="auto"/>
          </w:tcPr>
          <w:p w14:paraId="401ED599"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14.3%</w:t>
            </w:r>
          </w:p>
        </w:tc>
      </w:tr>
      <w:tr w:rsidR="00EB3615" w:rsidRPr="00DF7A3B" w14:paraId="0B748718" w14:textId="77777777" w:rsidTr="0015292C">
        <w:tc>
          <w:tcPr>
            <w:cnfStyle w:val="001000000000" w:firstRow="0" w:lastRow="0" w:firstColumn="1" w:lastColumn="0" w:oddVBand="0" w:evenVBand="0" w:oddHBand="0" w:evenHBand="0" w:firstRowFirstColumn="0" w:firstRowLastColumn="0" w:lastRowFirstColumn="0" w:lastRowLastColumn="0"/>
            <w:tcW w:w="0" w:type="auto"/>
            <w:hideMark/>
          </w:tcPr>
          <w:p w14:paraId="4BEBD69D" w14:textId="77777777" w:rsidR="009D7CF0" w:rsidRPr="00DF7A3B" w:rsidRDefault="009D7CF0">
            <w:pPr>
              <w:pStyle w:val="p1"/>
              <w:rPr>
                <w:rFonts w:asciiTheme="minorHAnsi" w:hAnsiTheme="minorHAnsi"/>
                <w:szCs w:val="22"/>
              </w:rPr>
            </w:pPr>
            <w:r>
              <w:rPr>
                <w:rFonts w:asciiTheme="minorHAnsi" w:hAnsiTheme="minorHAnsi"/>
                <w:szCs w:val="22"/>
              </w:rPr>
              <w:t>8</w:t>
            </w:r>
          </w:p>
        </w:tc>
        <w:tc>
          <w:tcPr>
            <w:tcW w:w="0" w:type="auto"/>
            <w:hideMark/>
          </w:tcPr>
          <w:p w14:paraId="31952D43" w14:textId="1B343995" w:rsidR="009D7CF0" w:rsidRPr="00415BD4"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NUE</w:t>
            </w:r>
            <w:r w:rsidR="00EB3615" w:rsidRPr="00EB3615">
              <w:rPr>
                <w:rFonts w:asciiTheme="minorHAnsi" w:hAnsiTheme="minorHAnsi"/>
                <w:szCs w:val="22"/>
                <w:vertAlign w:val="superscript"/>
              </w:rPr>
              <w:t>3</w:t>
            </w:r>
          </w:p>
        </w:tc>
        <w:tc>
          <w:tcPr>
            <w:tcW w:w="0" w:type="auto"/>
            <w:hideMark/>
          </w:tcPr>
          <w:p w14:paraId="42F63037" w14:textId="77777777" w:rsidR="009D7CF0" w:rsidRPr="00DF7A3B"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7A3B">
              <w:rPr>
                <w:rFonts w:asciiTheme="minorHAnsi" w:hAnsiTheme="minorHAnsi"/>
                <w:szCs w:val="22"/>
              </w:rPr>
              <w:t>Nucor</w:t>
            </w:r>
          </w:p>
        </w:tc>
        <w:tc>
          <w:tcPr>
            <w:tcW w:w="0" w:type="auto"/>
            <w:hideMark/>
          </w:tcPr>
          <w:p w14:paraId="79A495C1" w14:textId="77777777" w:rsidR="009D7CF0" w:rsidRPr="00DF7A3B" w:rsidRDefault="009D7CF0" w:rsidP="00396CC2">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7A3B">
              <w:rPr>
                <w:rFonts w:asciiTheme="minorHAnsi" w:hAnsiTheme="minorHAnsi"/>
                <w:szCs w:val="22"/>
              </w:rPr>
              <w:t>N</w:t>
            </w:r>
          </w:p>
        </w:tc>
        <w:tc>
          <w:tcPr>
            <w:tcW w:w="0" w:type="auto"/>
            <w:hideMark/>
          </w:tcPr>
          <w:p w14:paraId="3A11FCE8"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0.89</w:t>
            </w:r>
          </w:p>
        </w:tc>
        <w:tc>
          <w:tcPr>
            <w:tcW w:w="0" w:type="auto"/>
            <w:hideMark/>
          </w:tcPr>
          <w:p w14:paraId="5F202A6B"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$165-$200</w:t>
            </w:r>
          </w:p>
        </w:tc>
        <w:tc>
          <w:tcPr>
            <w:tcW w:w="0" w:type="auto"/>
            <w:shd w:val="clear" w:color="auto" w:fill="B3E5A1" w:themeFill="accent6" w:themeFillTint="66"/>
            <w:hideMark/>
          </w:tcPr>
          <w:p w14:paraId="7008386A" w14:textId="4ED8CB59" w:rsidR="009D7CF0" w:rsidRPr="00EB3615"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B3615">
              <w:rPr>
                <w:rFonts w:asciiTheme="minorHAnsi" w:hAnsiTheme="minorHAnsi"/>
                <w:szCs w:val="22"/>
              </w:rPr>
              <w:t>$185</w:t>
            </w:r>
          </w:p>
        </w:tc>
        <w:tc>
          <w:tcPr>
            <w:tcW w:w="0" w:type="auto"/>
            <w:hideMark/>
          </w:tcPr>
          <w:p w14:paraId="066929C8"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9.2%</w:t>
            </w:r>
          </w:p>
        </w:tc>
      </w:tr>
      <w:tr w:rsidR="00EB3615" w:rsidRPr="00DF7A3B" w14:paraId="4D64C476" w14:textId="77777777" w:rsidTr="00152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6F685B" w14:textId="77777777" w:rsidR="009D7CF0" w:rsidRPr="00DF7A3B" w:rsidRDefault="009D7CF0">
            <w:pPr>
              <w:pStyle w:val="p1"/>
              <w:rPr>
                <w:rFonts w:asciiTheme="minorHAnsi" w:hAnsiTheme="minorHAnsi"/>
                <w:szCs w:val="22"/>
              </w:rPr>
            </w:pPr>
            <w:r>
              <w:rPr>
                <w:rFonts w:asciiTheme="minorHAnsi" w:hAnsiTheme="minorHAnsi"/>
                <w:szCs w:val="22"/>
              </w:rPr>
              <w:t>9</w:t>
            </w:r>
          </w:p>
        </w:tc>
        <w:tc>
          <w:tcPr>
            <w:tcW w:w="0" w:type="auto"/>
            <w:hideMark/>
          </w:tcPr>
          <w:p w14:paraId="1D032D39" w14:textId="6DFDF696" w:rsidR="009D7CF0" w:rsidRPr="00415BD4"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15BD4">
              <w:rPr>
                <w:rFonts w:asciiTheme="minorHAnsi" w:hAnsiTheme="minorHAnsi"/>
                <w:szCs w:val="22"/>
              </w:rPr>
              <w:t>FCX</w:t>
            </w:r>
            <w:r w:rsidR="00EB3615" w:rsidRPr="00EB3615">
              <w:rPr>
                <w:rFonts w:asciiTheme="minorHAnsi" w:hAnsiTheme="minorHAnsi"/>
                <w:szCs w:val="22"/>
                <w:vertAlign w:val="superscript"/>
              </w:rPr>
              <w:t>3</w:t>
            </w:r>
          </w:p>
        </w:tc>
        <w:tc>
          <w:tcPr>
            <w:tcW w:w="0" w:type="auto"/>
            <w:hideMark/>
          </w:tcPr>
          <w:p w14:paraId="1DEAA619" w14:textId="77777777" w:rsidR="009D7CF0" w:rsidRPr="00DF7A3B" w:rsidRDefault="009D7CF0">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DF7A3B">
              <w:rPr>
                <w:rFonts w:asciiTheme="minorHAnsi" w:hAnsiTheme="minorHAnsi"/>
                <w:szCs w:val="22"/>
              </w:rPr>
              <w:t>Freeport-McMoRan</w:t>
            </w:r>
          </w:p>
        </w:tc>
        <w:tc>
          <w:tcPr>
            <w:tcW w:w="0" w:type="auto"/>
            <w:hideMark/>
          </w:tcPr>
          <w:p w14:paraId="4DF2BE02" w14:textId="77777777" w:rsidR="009D7CF0" w:rsidRPr="00DF7A3B" w:rsidRDefault="009D7CF0" w:rsidP="00396CC2">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74704404"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hideMark/>
          </w:tcPr>
          <w:p w14:paraId="11EE3FDF"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$44-$60</w:t>
            </w:r>
          </w:p>
        </w:tc>
        <w:tc>
          <w:tcPr>
            <w:tcW w:w="0" w:type="auto"/>
            <w:shd w:val="clear" w:color="auto" w:fill="B3E5A1" w:themeFill="accent6" w:themeFillTint="66"/>
            <w:hideMark/>
          </w:tcPr>
          <w:p w14:paraId="7C150F92" w14:textId="2D764A34" w:rsidR="009D7CF0" w:rsidRPr="00EB3615"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EB3615">
              <w:rPr>
                <w:rFonts w:asciiTheme="minorHAnsi" w:hAnsiTheme="minorHAnsi"/>
                <w:szCs w:val="22"/>
              </w:rPr>
              <w:t>$59</w:t>
            </w:r>
          </w:p>
        </w:tc>
        <w:tc>
          <w:tcPr>
            <w:tcW w:w="0" w:type="auto"/>
            <w:hideMark/>
          </w:tcPr>
          <w:p w14:paraId="4F0351C5" w14:textId="77777777" w:rsidR="009D7CF0" w:rsidRPr="00DF7A3B" w:rsidRDefault="009D7CF0" w:rsidP="00396CC2">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13.6%</w:t>
            </w:r>
          </w:p>
        </w:tc>
      </w:tr>
      <w:tr w:rsidR="00EB3615" w:rsidRPr="00DF7A3B" w14:paraId="37293910" w14:textId="77777777" w:rsidTr="0015292C">
        <w:tc>
          <w:tcPr>
            <w:cnfStyle w:val="001000000000" w:firstRow="0" w:lastRow="0" w:firstColumn="1" w:lastColumn="0" w:oddVBand="0" w:evenVBand="0" w:oddHBand="0" w:evenHBand="0" w:firstRowFirstColumn="0" w:firstRowLastColumn="0" w:lastRowFirstColumn="0" w:lastRowLastColumn="0"/>
            <w:tcW w:w="0" w:type="auto"/>
            <w:hideMark/>
          </w:tcPr>
          <w:p w14:paraId="2DD1D12A" w14:textId="77777777" w:rsidR="009D7CF0" w:rsidRPr="00DF7A3B" w:rsidRDefault="009D7CF0">
            <w:pPr>
              <w:pStyle w:val="p1"/>
              <w:rPr>
                <w:rFonts w:asciiTheme="minorHAnsi" w:hAnsiTheme="minorHAnsi"/>
                <w:szCs w:val="22"/>
              </w:rPr>
            </w:pPr>
            <w:r>
              <w:rPr>
                <w:rFonts w:asciiTheme="minorHAnsi" w:hAnsiTheme="minorHAnsi"/>
                <w:szCs w:val="22"/>
              </w:rPr>
              <w:t>10</w:t>
            </w:r>
          </w:p>
        </w:tc>
        <w:tc>
          <w:tcPr>
            <w:tcW w:w="0" w:type="auto"/>
            <w:hideMark/>
          </w:tcPr>
          <w:p w14:paraId="6551FA1E" w14:textId="2E098263" w:rsidR="009D7CF0" w:rsidRPr="00415BD4"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15BD4">
              <w:rPr>
                <w:rFonts w:asciiTheme="minorHAnsi" w:hAnsiTheme="minorHAnsi"/>
                <w:szCs w:val="22"/>
              </w:rPr>
              <w:t>ECL</w:t>
            </w:r>
            <w:r w:rsidR="00EB3615" w:rsidRPr="00EB3615">
              <w:rPr>
                <w:rFonts w:asciiTheme="minorHAnsi" w:hAnsiTheme="minorHAnsi"/>
                <w:szCs w:val="22"/>
                <w:vertAlign w:val="superscript"/>
              </w:rPr>
              <w:t>3</w:t>
            </w:r>
          </w:p>
        </w:tc>
        <w:tc>
          <w:tcPr>
            <w:tcW w:w="0" w:type="auto"/>
            <w:hideMark/>
          </w:tcPr>
          <w:p w14:paraId="14F54424" w14:textId="77777777" w:rsidR="009D7CF0" w:rsidRPr="00DF7A3B" w:rsidRDefault="009D7CF0">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DF7A3B">
              <w:rPr>
                <w:rFonts w:asciiTheme="minorHAnsi" w:hAnsiTheme="minorHAnsi"/>
                <w:szCs w:val="22"/>
              </w:rPr>
              <w:t>Ecolab</w:t>
            </w:r>
          </w:p>
        </w:tc>
        <w:tc>
          <w:tcPr>
            <w:tcW w:w="0" w:type="auto"/>
            <w:hideMark/>
          </w:tcPr>
          <w:p w14:paraId="2043DA7E" w14:textId="77777777" w:rsidR="009D7CF0" w:rsidRPr="00DF7A3B" w:rsidRDefault="009D7CF0" w:rsidP="00396CC2">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6621DD33"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hideMark/>
          </w:tcPr>
          <w:p w14:paraId="3C2FEE08"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$248-$315</w:t>
            </w:r>
          </w:p>
        </w:tc>
        <w:tc>
          <w:tcPr>
            <w:tcW w:w="0" w:type="auto"/>
            <w:shd w:val="clear" w:color="auto" w:fill="B3E5A1" w:themeFill="accent6" w:themeFillTint="66"/>
            <w:hideMark/>
          </w:tcPr>
          <w:p w14:paraId="15CB7017" w14:textId="603EC234" w:rsidR="009D7CF0" w:rsidRPr="00EB3615" w:rsidRDefault="009D7CF0" w:rsidP="00CE5507">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EB3615">
              <w:rPr>
                <w:rFonts w:asciiTheme="minorHAnsi" w:hAnsiTheme="minorHAnsi"/>
                <w:szCs w:val="22"/>
              </w:rPr>
              <w:t>$296</w:t>
            </w:r>
          </w:p>
        </w:tc>
        <w:tc>
          <w:tcPr>
            <w:tcW w:w="0" w:type="auto"/>
            <w:hideMark/>
          </w:tcPr>
          <w:p w14:paraId="3897EB43" w14:textId="77777777" w:rsidR="009D7CF0" w:rsidRPr="00DF7A3B" w:rsidRDefault="009D7CF0" w:rsidP="00396CC2">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12.7%</w:t>
            </w:r>
          </w:p>
        </w:tc>
      </w:tr>
    </w:tbl>
    <w:p w14:paraId="37EB3DBE" w14:textId="77777777" w:rsidR="00EB717F" w:rsidRPr="005C3B4E" w:rsidRDefault="00EB717F" w:rsidP="00EB717F">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79DC3829" w14:textId="77777777" w:rsidR="00606F06" w:rsidRDefault="00606F06" w:rsidP="00606F06">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1AE20907" w14:textId="68082304" w:rsidR="006B4ECC" w:rsidRDefault="00415BD4" w:rsidP="00803C2E">
      <w:pPr>
        <w:pStyle w:val="p1"/>
        <w:rPr>
          <w:sz w:val="20"/>
          <w:szCs w:val="20"/>
        </w:rPr>
      </w:pPr>
      <w:r>
        <w:rPr>
          <w:sz w:val="20"/>
          <w:szCs w:val="20"/>
          <w:vertAlign w:val="superscript"/>
        </w:rPr>
        <w:t>3</w:t>
      </w:r>
      <w:r>
        <w:rPr>
          <w:sz w:val="20"/>
          <w:szCs w:val="20"/>
        </w:rPr>
        <w:t xml:space="preserve"> </w:t>
      </w:r>
      <w:r w:rsidR="00EB3615">
        <w:rPr>
          <w:sz w:val="20"/>
          <w:szCs w:val="20"/>
        </w:rPr>
        <w:t>Price rose too fast to buy.</w:t>
      </w:r>
    </w:p>
    <w:p w14:paraId="1CB820AF" w14:textId="1B55A01D" w:rsidR="00CE5507" w:rsidRPr="00CE5507" w:rsidRDefault="00CE5507" w:rsidP="00803C2E">
      <w:pPr>
        <w:pStyle w:val="p1"/>
        <w:rPr>
          <w:b/>
          <w:bCs/>
          <w:kern w:val="36"/>
          <w:sz w:val="28"/>
          <w:szCs w:val="28"/>
        </w:rPr>
      </w:pPr>
      <w:r>
        <w:rPr>
          <w:sz w:val="20"/>
          <w:szCs w:val="20"/>
        </w:rPr>
        <w:t>Notes: Tickers highlighted green were selected.  Thesis 1-year targets highlighted in green were achieved during calendar year 2026.</w:t>
      </w:r>
    </w:p>
    <w:p w14:paraId="1824D8C9" w14:textId="77777777" w:rsidR="00C23D3F" w:rsidRDefault="00C23D3F">
      <w:pPr>
        <w:rPr>
          <w:b/>
          <w:bCs/>
          <w:kern w:val="36"/>
          <w:sz w:val="28"/>
          <w:szCs w:val="28"/>
        </w:rPr>
      </w:pPr>
      <w:r>
        <w:rPr>
          <w:b/>
          <w:bCs/>
          <w:kern w:val="36"/>
          <w:sz w:val="28"/>
          <w:szCs w:val="28"/>
        </w:rPr>
        <w:br w:type="page"/>
      </w:r>
    </w:p>
    <w:p w14:paraId="21432CBC" w14:textId="590461B2" w:rsidR="00AD5DE8" w:rsidRDefault="00AD5DE8" w:rsidP="009B48AB">
      <w:pPr>
        <w:pStyle w:val="Heading3"/>
      </w:pPr>
      <w:r>
        <w:lastRenderedPageBreak/>
        <w:t>Utilities Sector Outlook:</w:t>
      </w:r>
    </w:p>
    <w:p w14:paraId="3FDBFFEE" w14:textId="77777777" w:rsidR="00511F56" w:rsidRPr="005C3B4E" w:rsidRDefault="00511F56" w:rsidP="00511F56">
      <w:pPr>
        <w:pStyle w:val="p1"/>
      </w:pPr>
      <w:r w:rsidRPr="005C3B4E">
        <w:t xml:space="preserve">The utilities sector enters 2026 in a </w:t>
      </w:r>
      <w:r w:rsidRPr="005C3B4E">
        <w:rPr>
          <w:rStyle w:val="s1"/>
          <w:rFonts w:eastAsiaTheme="majorEastAsia"/>
        </w:rPr>
        <w:t>more stressed yet more strategically essential position</w:t>
      </w:r>
      <w:r w:rsidRPr="005C3B4E">
        <w:t xml:space="preserve"> than at the start of 2025. Inflation moderation and modest policy-rate cuts provide limited relief, but structurally higher long-term yields—driven by elevated sovereign borrowing and persistent Treasury issuance—keep utilities’ cost of capital well above pre-2020 norms. This amplifies the consequences of years of deferred investment just as extreme weather in 2025 exposed aging grid infrastructure across much of the U.S. and parts of Europe. As a result, utilities face rising regulatory pressure to modernize transmission, distribution, and generation systems even as balance sheets and ratepayer affordability are increasingly constrained.</w:t>
      </w:r>
    </w:p>
    <w:p w14:paraId="7FF53F24" w14:textId="77777777" w:rsidR="00511F56" w:rsidRPr="005C3B4E" w:rsidRDefault="00511F56" w:rsidP="00511F56">
      <w:pPr>
        <w:pStyle w:val="p1"/>
      </w:pPr>
      <w:r w:rsidRPr="005C3B4E">
        <w:t xml:space="preserve">By mid-2026, sector outcomes are dominated by </w:t>
      </w:r>
      <w:r w:rsidRPr="005C3B4E">
        <w:rPr>
          <w:rStyle w:val="s1"/>
          <w:rFonts w:eastAsiaTheme="majorEastAsia"/>
        </w:rPr>
        <w:t>three reinforcing forces</w:t>
      </w:r>
      <w:r w:rsidRPr="005C3B4E">
        <w:t xml:space="preserve">: accelerating electricity demand, climate-driven volatility, and capital-constrained grid expansion. Electricity load growth materially exceeds historical planning assumptions, driven by AI data centers, cloud infrastructure, EV adoption, and electrified industrial processes, with the heaviest strain concentrated in regions such as PJM, ERCOT, MISO, the Southeast, and parts of the Southwest. Interconnection queues, transformer shortages, and permitting delays become binding constraints, forcing utilities to prioritize </w:t>
      </w:r>
      <w:r w:rsidRPr="005C3B4E">
        <w:rPr>
          <w:rStyle w:val="s1"/>
          <w:rFonts w:eastAsiaTheme="majorEastAsia"/>
        </w:rPr>
        <w:t>reliability-oriented investments</w:t>
      </w:r>
      <w:r w:rsidRPr="005C3B4E">
        <w:t>—natural-gas peakers, grid-scale storage, transmission upgrades, grid automation, and selective nuclear life extensions or SMR planning—alongside renewables. Federal fiscal constraints limit direct support, shifting more of the financing burden to regulated rate-base expansion, private-capital partnerships, and state-level regulatory approvals.</w:t>
      </w:r>
    </w:p>
    <w:p w14:paraId="327153F1" w14:textId="77777777" w:rsidR="00511F56" w:rsidRPr="005C3B4E" w:rsidRDefault="00511F56" w:rsidP="00511F56">
      <w:pPr>
        <w:pStyle w:val="p1"/>
      </w:pPr>
      <w:r w:rsidRPr="005C3B4E">
        <w:t xml:space="preserve">Climate volatility further intensifies operational and financial pressure. Heatwaves, wildfires, hurricanes, and floods drive rising insurance costs, litigation risk, and emergency repair spending, accelerating investment in grid hardening, buried lines, predictive maintenance, advanced sensors, and microgrids. At the same time, regulators remain cautious about approving aggressive rate increases in a politically sensitive environment marked by rising retail electricity prices, compressing near-term returns and raising execution risk. As a result, </w:t>
      </w:r>
      <w:r w:rsidRPr="005C3B4E">
        <w:rPr>
          <w:rStyle w:val="s1"/>
          <w:rFonts w:eastAsiaTheme="majorEastAsia"/>
        </w:rPr>
        <w:t>regulatory relationships and cost-recovery credibility</w:t>
      </w:r>
      <w:r w:rsidRPr="005C3B4E">
        <w:t xml:space="preserve"> become as important as load growth itself. Utilities with constructive regulators, diversified generation portfolios, strong cyber posture, and early investment in modernization materially outperform those exposed to weak regulatory frameworks, concentrated climate risk, or outdated infrastructure.</w:t>
      </w:r>
    </w:p>
    <w:p w14:paraId="6FE5559F" w14:textId="77777777" w:rsidR="00511F56" w:rsidRPr="005C3B4E" w:rsidRDefault="00511F56" w:rsidP="00511F56">
      <w:pPr>
        <w:pStyle w:val="p1"/>
      </w:pPr>
      <w:r w:rsidRPr="005C3B4E">
        <w:t xml:space="preserve">By late 2026, sector performance is </w:t>
      </w:r>
      <w:r w:rsidRPr="005C3B4E">
        <w:rPr>
          <w:rStyle w:val="s1"/>
          <w:rFonts w:eastAsiaTheme="majorEastAsia"/>
        </w:rPr>
        <w:t>highly bifurcated</w:t>
      </w:r>
      <w:r w:rsidRPr="005C3B4E">
        <w:t xml:space="preserve">. Utilities serving fast-growing regions with hyperscaler demand, supportive regulators, and flexible generation show steady earnings growth and improving visibility. Nuclear-heavy and gas-backed utilities gain strategic importance as reliability anchors in a volatile grid environment, while renewables continue to expand </w:t>
      </w:r>
      <w:proofErr w:type="gramStart"/>
      <w:r w:rsidRPr="005C3B4E">
        <w:t>selectively—favoring</w:t>
      </w:r>
      <w:proofErr w:type="gramEnd"/>
      <w:r w:rsidRPr="005C3B4E">
        <w:t xml:space="preserve"> projects with secure interconnection, firm offtake agreements, and manageable capital profiles. Utilities overly exposed to climate risk, underinvestment, or contentious rate cases remain under sustained pressure despite favorable demand fundamentals. Overall, utilities in 2026 are more essential, more capital-strained, and more systemically important than the year before; success depends less on growth alone and more on </w:t>
      </w:r>
      <w:r w:rsidRPr="005C3B4E">
        <w:rPr>
          <w:rStyle w:val="s1"/>
          <w:rFonts w:eastAsiaTheme="majorEastAsia"/>
        </w:rPr>
        <w:t>execution under constraint</w:t>
      </w:r>
      <w:r w:rsidRPr="005C3B4E">
        <w:t>, scale, and alignment with AI-driven load growth and grid reliability.</w:t>
      </w:r>
    </w:p>
    <w:p w14:paraId="3A6DC8D8" w14:textId="77777777" w:rsidR="00511F56" w:rsidRDefault="00511F56" w:rsidP="005227E2">
      <w:pPr>
        <w:pStyle w:val="p3"/>
        <w:rPr>
          <w:b/>
          <w:bCs/>
        </w:rPr>
      </w:pPr>
    </w:p>
    <w:p w14:paraId="043341E2" w14:textId="22E515FD" w:rsidR="006945F2" w:rsidRDefault="005227E2" w:rsidP="001B23F3">
      <w:pPr>
        <w:pStyle w:val="p3"/>
      </w:pPr>
      <w:r>
        <w:rPr>
          <w:b/>
          <w:bCs/>
        </w:rPr>
        <w:t xml:space="preserve">Top </w:t>
      </w:r>
      <w:r w:rsidR="001B23F3">
        <w:rPr>
          <w:b/>
          <w:bCs/>
        </w:rPr>
        <w:t>U</w:t>
      </w:r>
      <w:r>
        <w:rPr>
          <w:b/>
          <w:bCs/>
        </w:rPr>
        <w:t>tilities companies positioned for 2026:</w:t>
      </w:r>
    </w:p>
    <w:tbl>
      <w:tblPr>
        <w:tblStyle w:val="ListTable4-Accent4"/>
        <w:tblW w:w="0" w:type="auto"/>
        <w:tblLook w:val="04A0" w:firstRow="1" w:lastRow="0" w:firstColumn="1" w:lastColumn="0" w:noHBand="0" w:noVBand="1"/>
      </w:tblPr>
      <w:tblGrid>
        <w:gridCol w:w="765"/>
        <w:gridCol w:w="807"/>
        <w:gridCol w:w="2008"/>
        <w:gridCol w:w="1287"/>
        <w:gridCol w:w="1177"/>
        <w:gridCol w:w="1532"/>
        <w:gridCol w:w="1026"/>
        <w:gridCol w:w="1108"/>
      </w:tblGrid>
      <w:tr w:rsidR="002C77DF" w:rsidRPr="006945F2" w14:paraId="05B6FC1B" w14:textId="77777777" w:rsidTr="009B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7C9777" w14:textId="77777777" w:rsidR="002D6B2C" w:rsidRPr="006945F2" w:rsidRDefault="002D6B2C" w:rsidP="001B7BEE">
            <w:pPr>
              <w:pStyle w:val="p1"/>
              <w:jc w:val="center"/>
              <w:rPr>
                <w:rFonts w:asciiTheme="minorHAnsi" w:hAnsiTheme="minorHAnsi"/>
                <w:szCs w:val="22"/>
              </w:rPr>
            </w:pPr>
            <w:r w:rsidRPr="006945F2">
              <w:rPr>
                <w:rFonts w:asciiTheme="minorHAnsi" w:hAnsiTheme="minorHAnsi"/>
                <w:b w:val="0"/>
                <w:bCs w:val="0"/>
                <w:szCs w:val="22"/>
              </w:rPr>
              <w:t>Rank</w:t>
            </w:r>
            <w:r w:rsidRPr="001B7BEE">
              <w:rPr>
                <w:rFonts w:asciiTheme="minorHAnsi" w:hAnsiTheme="minorHAnsi"/>
                <w:b w:val="0"/>
                <w:bCs w:val="0"/>
                <w:szCs w:val="22"/>
                <w:vertAlign w:val="superscript"/>
              </w:rPr>
              <w:t>1</w:t>
            </w:r>
          </w:p>
        </w:tc>
        <w:tc>
          <w:tcPr>
            <w:tcW w:w="0" w:type="auto"/>
            <w:hideMark/>
          </w:tcPr>
          <w:p w14:paraId="00CB5D7E"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6945F2">
              <w:rPr>
                <w:rFonts w:asciiTheme="minorHAnsi" w:hAnsiTheme="minorHAnsi"/>
                <w:b w:val="0"/>
                <w:bCs w:val="0"/>
                <w:szCs w:val="22"/>
              </w:rPr>
              <w:t>Ticker</w:t>
            </w:r>
          </w:p>
        </w:tc>
        <w:tc>
          <w:tcPr>
            <w:tcW w:w="0" w:type="auto"/>
            <w:hideMark/>
          </w:tcPr>
          <w:p w14:paraId="14CE532A"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6945F2">
              <w:rPr>
                <w:rFonts w:asciiTheme="minorHAnsi" w:hAnsiTheme="minorHAnsi"/>
                <w:b w:val="0"/>
                <w:bCs w:val="0"/>
                <w:szCs w:val="22"/>
              </w:rPr>
              <w:t>Company</w:t>
            </w:r>
          </w:p>
        </w:tc>
        <w:tc>
          <w:tcPr>
            <w:tcW w:w="0" w:type="auto"/>
            <w:hideMark/>
          </w:tcPr>
          <w:p w14:paraId="4A59390F"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Top 5 (Return)</w:t>
            </w:r>
          </w:p>
        </w:tc>
        <w:tc>
          <w:tcPr>
            <w:tcW w:w="0" w:type="auto"/>
            <w:hideMark/>
          </w:tcPr>
          <w:p w14:paraId="5BEED41D"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744C3C84"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Analyst 1-yr target</w:t>
            </w:r>
          </w:p>
        </w:tc>
        <w:tc>
          <w:tcPr>
            <w:tcW w:w="0" w:type="auto"/>
            <w:hideMark/>
          </w:tcPr>
          <w:p w14:paraId="2BBA87F2"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1-yr target</w:t>
            </w:r>
          </w:p>
        </w:tc>
        <w:tc>
          <w:tcPr>
            <w:tcW w:w="0" w:type="auto"/>
            <w:hideMark/>
          </w:tcPr>
          <w:p w14:paraId="2DFE0949" w14:textId="77777777" w:rsidR="002D6B2C" w:rsidRPr="006945F2" w:rsidRDefault="002D6B2C" w:rsidP="001B7BEE">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Pr>
                <w:rFonts w:asciiTheme="minorHAnsi" w:hAnsiTheme="minorHAnsi"/>
                <w:b w:val="0"/>
                <w:bCs w:val="0"/>
                <w:sz w:val="20"/>
                <w:szCs w:val="20"/>
              </w:rPr>
              <w:br/>
              <w:t>(Thesis)</w:t>
            </w:r>
          </w:p>
        </w:tc>
      </w:tr>
      <w:tr w:rsidR="002C77DF" w:rsidRPr="006945F2" w14:paraId="53EB2E6B" w14:textId="77777777" w:rsidTr="00606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7F24F54" w14:textId="77777777" w:rsidR="002D6B2C" w:rsidRPr="006945F2" w:rsidRDefault="002D6B2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tcPr>
          <w:p w14:paraId="05DA3A36" w14:textId="518E2022" w:rsidR="002D6B2C" w:rsidRPr="00606F06"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06F06">
              <w:rPr>
                <w:rFonts w:asciiTheme="minorHAnsi" w:hAnsiTheme="minorHAnsi"/>
                <w:szCs w:val="22"/>
              </w:rPr>
              <w:t>CEG</w:t>
            </w:r>
            <w:r w:rsidR="00606F06" w:rsidRPr="00606F06">
              <w:rPr>
                <w:rFonts w:asciiTheme="minorHAnsi" w:hAnsiTheme="minorHAnsi"/>
                <w:szCs w:val="22"/>
                <w:vertAlign w:val="superscript"/>
              </w:rPr>
              <w:t>3</w:t>
            </w:r>
          </w:p>
        </w:tc>
        <w:tc>
          <w:tcPr>
            <w:tcW w:w="0" w:type="auto"/>
          </w:tcPr>
          <w:p w14:paraId="1FF7E44A" w14:textId="77777777" w:rsidR="002D6B2C" w:rsidRPr="006945F2"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Constellation Energy</w:t>
            </w:r>
          </w:p>
        </w:tc>
        <w:tc>
          <w:tcPr>
            <w:tcW w:w="0" w:type="auto"/>
          </w:tcPr>
          <w:p w14:paraId="03FDA6FB" w14:textId="77777777" w:rsidR="002D6B2C" w:rsidRPr="006945F2" w:rsidRDefault="002D6B2C" w:rsidP="001B7BE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34FB9239"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tcPr>
          <w:p w14:paraId="32256089"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$350-$520</w:t>
            </w:r>
          </w:p>
        </w:tc>
        <w:tc>
          <w:tcPr>
            <w:tcW w:w="0" w:type="auto"/>
          </w:tcPr>
          <w:p w14:paraId="5EF53AB7"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$423</w:t>
            </w:r>
          </w:p>
        </w:tc>
        <w:tc>
          <w:tcPr>
            <w:tcW w:w="0" w:type="auto"/>
          </w:tcPr>
          <w:p w14:paraId="00DA5B3F"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15.4%</w:t>
            </w:r>
          </w:p>
        </w:tc>
      </w:tr>
      <w:tr w:rsidR="002C77DF" w:rsidRPr="006945F2" w14:paraId="7753F44D" w14:textId="77777777" w:rsidTr="00606F06">
        <w:tc>
          <w:tcPr>
            <w:cnfStyle w:val="001000000000" w:firstRow="0" w:lastRow="0" w:firstColumn="1" w:lastColumn="0" w:oddVBand="0" w:evenVBand="0" w:oddHBand="0" w:evenHBand="0" w:firstRowFirstColumn="0" w:firstRowLastColumn="0" w:lastRowFirstColumn="0" w:lastRowLastColumn="0"/>
            <w:tcW w:w="0" w:type="auto"/>
          </w:tcPr>
          <w:p w14:paraId="006090FF" w14:textId="77777777" w:rsidR="002D6B2C" w:rsidRPr="006945F2" w:rsidRDefault="002D6B2C">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tcPr>
          <w:p w14:paraId="13A74894" w14:textId="239426BE" w:rsidR="002D6B2C" w:rsidRPr="00606F06"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06F06">
              <w:rPr>
                <w:rFonts w:asciiTheme="minorHAnsi" w:hAnsiTheme="minorHAnsi"/>
                <w:szCs w:val="22"/>
              </w:rPr>
              <w:t>VST</w:t>
            </w:r>
          </w:p>
        </w:tc>
        <w:tc>
          <w:tcPr>
            <w:tcW w:w="0" w:type="auto"/>
          </w:tcPr>
          <w:p w14:paraId="13980340" w14:textId="77777777" w:rsidR="002D6B2C" w:rsidRPr="006945F2"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Vistra Corp</w:t>
            </w:r>
          </w:p>
        </w:tc>
        <w:tc>
          <w:tcPr>
            <w:tcW w:w="0" w:type="auto"/>
          </w:tcPr>
          <w:p w14:paraId="49C179E9" w14:textId="77777777" w:rsidR="002D6B2C" w:rsidRPr="006945F2" w:rsidRDefault="002D6B2C" w:rsidP="001B7BE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1E6EAC81"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0" w:type="auto"/>
          </w:tcPr>
          <w:p w14:paraId="16DC9A25"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$217-$260</w:t>
            </w:r>
          </w:p>
        </w:tc>
        <w:tc>
          <w:tcPr>
            <w:tcW w:w="0" w:type="auto"/>
          </w:tcPr>
          <w:p w14:paraId="281249A5"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$245</w:t>
            </w:r>
          </w:p>
        </w:tc>
        <w:tc>
          <w:tcPr>
            <w:tcW w:w="0" w:type="auto"/>
          </w:tcPr>
          <w:p w14:paraId="60A00E5D"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48.3%</w:t>
            </w:r>
          </w:p>
        </w:tc>
      </w:tr>
      <w:tr w:rsidR="002C77DF" w:rsidRPr="006945F2" w14:paraId="56C6B92B"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AD02B1A" w14:textId="77777777" w:rsidR="002D6B2C" w:rsidRPr="006945F2" w:rsidRDefault="002D6B2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hideMark/>
          </w:tcPr>
          <w:p w14:paraId="4F126B52" w14:textId="6FBF3EDA" w:rsidR="002D6B2C" w:rsidRPr="00606F06"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06F06">
              <w:rPr>
                <w:rFonts w:asciiTheme="minorHAnsi" w:hAnsiTheme="minorHAnsi"/>
                <w:szCs w:val="22"/>
              </w:rPr>
              <w:t>NEE</w:t>
            </w:r>
            <w:r w:rsidR="00606F06" w:rsidRPr="00606F06">
              <w:rPr>
                <w:rFonts w:asciiTheme="minorHAnsi" w:hAnsiTheme="minorHAnsi"/>
                <w:szCs w:val="22"/>
                <w:vertAlign w:val="superscript"/>
              </w:rPr>
              <w:t>3</w:t>
            </w:r>
          </w:p>
        </w:tc>
        <w:tc>
          <w:tcPr>
            <w:tcW w:w="0" w:type="auto"/>
            <w:hideMark/>
          </w:tcPr>
          <w:p w14:paraId="10AC11C4" w14:textId="77777777" w:rsidR="002D6B2C" w:rsidRPr="006945F2"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945F2">
              <w:rPr>
                <w:rFonts w:asciiTheme="minorHAnsi" w:hAnsiTheme="minorHAnsi"/>
                <w:szCs w:val="22"/>
              </w:rPr>
              <w:t>NextEra Energy</w:t>
            </w:r>
          </w:p>
        </w:tc>
        <w:tc>
          <w:tcPr>
            <w:tcW w:w="0" w:type="auto"/>
            <w:hideMark/>
          </w:tcPr>
          <w:p w14:paraId="3432520A" w14:textId="77777777" w:rsidR="002D6B2C" w:rsidRPr="006945F2" w:rsidRDefault="002D6B2C" w:rsidP="001B7BE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09820834"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hideMark/>
          </w:tcPr>
          <w:p w14:paraId="5C8159B4"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$84-$100</w:t>
            </w:r>
          </w:p>
        </w:tc>
        <w:tc>
          <w:tcPr>
            <w:tcW w:w="0" w:type="auto"/>
            <w:shd w:val="clear" w:color="auto" w:fill="B3E5A1" w:themeFill="accent6" w:themeFillTint="66"/>
            <w:hideMark/>
          </w:tcPr>
          <w:p w14:paraId="695B2BAD"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$94</w:t>
            </w:r>
          </w:p>
        </w:tc>
        <w:tc>
          <w:tcPr>
            <w:tcW w:w="0" w:type="auto"/>
            <w:hideMark/>
          </w:tcPr>
          <w:p w14:paraId="69A76B27"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16.1%</w:t>
            </w:r>
          </w:p>
        </w:tc>
      </w:tr>
      <w:tr w:rsidR="002C77DF" w:rsidRPr="006945F2" w14:paraId="75F67178" w14:textId="77777777" w:rsidTr="00B752BF">
        <w:tc>
          <w:tcPr>
            <w:cnfStyle w:val="001000000000" w:firstRow="0" w:lastRow="0" w:firstColumn="1" w:lastColumn="0" w:oddVBand="0" w:evenVBand="0" w:oddHBand="0" w:evenHBand="0" w:firstRowFirstColumn="0" w:firstRowLastColumn="0" w:lastRowFirstColumn="0" w:lastRowLastColumn="0"/>
            <w:tcW w:w="0" w:type="auto"/>
            <w:hideMark/>
          </w:tcPr>
          <w:p w14:paraId="20BA8615" w14:textId="77777777" w:rsidR="002D6B2C" w:rsidRPr="006945F2" w:rsidRDefault="002D6B2C">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hideMark/>
          </w:tcPr>
          <w:p w14:paraId="2EB696D7" w14:textId="5130820F" w:rsidR="002D6B2C" w:rsidRPr="00606F06"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06F06">
              <w:rPr>
                <w:rFonts w:asciiTheme="minorHAnsi" w:hAnsiTheme="minorHAnsi"/>
                <w:szCs w:val="22"/>
              </w:rPr>
              <w:t>XEL</w:t>
            </w:r>
            <w:r w:rsidR="00FB7E70" w:rsidRPr="00FB7E70">
              <w:rPr>
                <w:rFonts w:asciiTheme="minorHAnsi" w:hAnsiTheme="minorHAnsi"/>
                <w:szCs w:val="22"/>
                <w:vertAlign w:val="superscript"/>
              </w:rPr>
              <w:t>3</w:t>
            </w:r>
          </w:p>
        </w:tc>
        <w:tc>
          <w:tcPr>
            <w:tcW w:w="0" w:type="auto"/>
            <w:hideMark/>
          </w:tcPr>
          <w:p w14:paraId="2DC58D53" w14:textId="77777777" w:rsidR="002D6B2C" w:rsidRPr="006945F2"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945F2">
              <w:rPr>
                <w:rFonts w:asciiTheme="minorHAnsi" w:hAnsiTheme="minorHAnsi"/>
                <w:szCs w:val="22"/>
              </w:rPr>
              <w:t>Xcel Energy</w:t>
            </w:r>
          </w:p>
        </w:tc>
        <w:tc>
          <w:tcPr>
            <w:tcW w:w="0" w:type="auto"/>
            <w:hideMark/>
          </w:tcPr>
          <w:p w14:paraId="0ECB6D1E" w14:textId="77777777" w:rsidR="002D6B2C" w:rsidRPr="006945F2" w:rsidRDefault="002D6B2C" w:rsidP="001B7BE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2D25C1B6"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0.83</w:t>
            </w:r>
          </w:p>
        </w:tc>
        <w:tc>
          <w:tcPr>
            <w:tcW w:w="0" w:type="auto"/>
            <w:hideMark/>
          </w:tcPr>
          <w:p w14:paraId="1C85243B"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$79-$97</w:t>
            </w:r>
          </w:p>
        </w:tc>
        <w:tc>
          <w:tcPr>
            <w:tcW w:w="0" w:type="auto"/>
            <w:hideMark/>
          </w:tcPr>
          <w:p w14:paraId="3ACBBF5B"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$88</w:t>
            </w:r>
          </w:p>
        </w:tc>
        <w:tc>
          <w:tcPr>
            <w:tcW w:w="0" w:type="auto"/>
            <w:hideMark/>
          </w:tcPr>
          <w:p w14:paraId="3578CA52"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17.8%</w:t>
            </w:r>
          </w:p>
        </w:tc>
      </w:tr>
      <w:tr w:rsidR="002C77DF" w:rsidRPr="006945F2" w14:paraId="1A3AD4B3" w14:textId="77777777" w:rsidTr="00FB7E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A6C05F4" w14:textId="5BA15912" w:rsidR="002D6B2C" w:rsidRDefault="002D6B2C">
            <w:pPr>
              <w:pStyle w:val="p1"/>
              <w:rPr>
                <w:rFonts w:asciiTheme="minorHAnsi" w:hAnsiTheme="minorHAnsi"/>
                <w:szCs w:val="22"/>
              </w:rPr>
            </w:pPr>
            <w:r>
              <w:rPr>
                <w:rFonts w:asciiTheme="minorHAnsi" w:hAnsiTheme="minorHAnsi"/>
                <w:szCs w:val="22"/>
              </w:rPr>
              <w:t>5</w:t>
            </w:r>
          </w:p>
        </w:tc>
        <w:tc>
          <w:tcPr>
            <w:tcW w:w="0" w:type="auto"/>
            <w:shd w:val="clear" w:color="auto" w:fill="auto"/>
          </w:tcPr>
          <w:p w14:paraId="6D2D10C5" w14:textId="77777777" w:rsidR="002D6B2C" w:rsidRPr="00606F06"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06F06">
              <w:rPr>
                <w:rFonts w:asciiTheme="minorHAnsi" w:hAnsiTheme="minorHAnsi"/>
                <w:szCs w:val="22"/>
              </w:rPr>
              <w:t>WTRG</w:t>
            </w:r>
          </w:p>
        </w:tc>
        <w:tc>
          <w:tcPr>
            <w:tcW w:w="0" w:type="auto"/>
          </w:tcPr>
          <w:p w14:paraId="74E93911" w14:textId="77777777" w:rsidR="002D6B2C"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Essential Utilities</w:t>
            </w:r>
          </w:p>
        </w:tc>
        <w:tc>
          <w:tcPr>
            <w:tcW w:w="0" w:type="auto"/>
          </w:tcPr>
          <w:p w14:paraId="323F49C5" w14:textId="77777777" w:rsidR="002D6B2C" w:rsidRDefault="002D6B2C" w:rsidP="001B7BE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40FDE980"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0.80</w:t>
            </w:r>
          </w:p>
        </w:tc>
        <w:tc>
          <w:tcPr>
            <w:tcW w:w="0" w:type="auto"/>
          </w:tcPr>
          <w:p w14:paraId="67F3B2A8"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$38-$45</w:t>
            </w:r>
          </w:p>
        </w:tc>
        <w:tc>
          <w:tcPr>
            <w:tcW w:w="0" w:type="auto"/>
          </w:tcPr>
          <w:p w14:paraId="0B19CB19"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$44</w:t>
            </w:r>
          </w:p>
        </w:tc>
        <w:tc>
          <w:tcPr>
            <w:tcW w:w="0" w:type="auto"/>
          </w:tcPr>
          <w:p w14:paraId="77913F6B"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13.8%</w:t>
            </w:r>
          </w:p>
        </w:tc>
      </w:tr>
      <w:tr w:rsidR="002C77DF" w:rsidRPr="006945F2" w14:paraId="1BC625F8" w14:textId="77777777" w:rsidTr="00B752BF">
        <w:tc>
          <w:tcPr>
            <w:cnfStyle w:val="001000000000" w:firstRow="0" w:lastRow="0" w:firstColumn="1" w:lastColumn="0" w:oddVBand="0" w:evenVBand="0" w:oddHBand="0" w:evenHBand="0" w:firstRowFirstColumn="0" w:firstRowLastColumn="0" w:lastRowFirstColumn="0" w:lastRowLastColumn="0"/>
            <w:tcW w:w="0" w:type="auto"/>
            <w:hideMark/>
          </w:tcPr>
          <w:p w14:paraId="5DFE8EFF" w14:textId="77777777" w:rsidR="002D6B2C" w:rsidRPr="006945F2" w:rsidRDefault="002D6B2C">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hideMark/>
          </w:tcPr>
          <w:p w14:paraId="09C0C0C7" w14:textId="196D7C5B" w:rsidR="002D6B2C" w:rsidRPr="00606F06"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06F06">
              <w:rPr>
                <w:rFonts w:asciiTheme="minorHAnsi" w:hAnsiTheme="minorHAnsi"/>
                <w:szCs w:val="22"/>
              </w:rPr>
              <w:t>D</w:t>
            </w:r>
            <w:r w:rsidR="007E650B" w:rsidRPr="007E650B">
              <w:rPr>
                <w:rFonts w:asciiTheme="minorHAnsi" w:hAnsiTheme="minorHAnsi"/>
                <w:szCs w:val="22"/>
                <w:vertAlign w:val="superscript"/>
              </w:rPr>
              <w:t>3</w:t>
            </w:r>
          </w:p>
        </w:tc>
        <w:tc>
          <w:tcPr>
            <w:tcW w:w="0" w:type="auto"/>
            <w:hideMark/>
          </w:tcPr>
          <w:p w14:paraId="42B05A99" w14:textId="77777777" w:rsidR="002D6B2C" w:rsidRPr="006945F2"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945F2">
              <w:rPr>
                <w:rFonts w:asciiTheme="minorHAnsi" w:hAnsiTheme="minorHAnsi"/>
                <w:szCs w:val="22"/>
              </w:rPr>
              <w:t>Dominion Energy</w:t>
            </w:r>
          </w:p>
        </w:tc>
        <w:tc>
          <w:tcPr>
            <w:tcW w:w="0" w:type="auto"/>
            <w:hideMark/>
          </w:tcPr>
          <w:p w14:paraId="0290844A" w14:textId="77777777" w:rsidR="002D6B2C" w:rsidRPr="006945F2" w:rsidRDefault="002D6B2C" w:rsidP="001B7BE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7D2FC327"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0.87</w:t>
            </w:r>
          </w:p>
        </w:tc>
        <w:tc>
          <w:tcPr>
            <w:tcW w:w="0" w:type="auto"/>
            <w:hideMark/>
          </w:tcPr>
          <w:p w14:paraId="2C5E98D2"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$59-$70</w:t>
            </w:r>
          </w:p>
        </w:tc>
        <w:tc>
          <w:tcPr>
            <w:tcW w:w="0" w:type="auto"/>
            <w:shd w:val="clear" w:color="auto" w:fill="B3E5A1" w:themeFill="accent6" w:themeFillTint="66"/>
            <w:hideMark/>
          </w:tcPr>
          <w:p w14:paraId="44197F0A"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$67</w:t>
            </w:r>
          </w:p>
        </w:tc>
        <w:tc>
          <w:tcPr>
            <w:tcW w:w="0" w:type="auto"/>
            <w:hideMark/>
          </w:tcPr>
          <w:p w14:paraId="212B78CD"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12.3%</w:t>
            </w:r>
          </w:p>
        </w:tc>
      </w:tr>
      <w:tr w:rsidR="002C77DF" w:rsidRPr="006945F2" w14:paraId="24A42A2B"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BAB583D" w14:textId="0CC51164" w:rsidR="002D6B2C" w:rsidRDefault="002D6B2C">
            <w:pPr>
              <w:pStyle w:val="p1"/>
              <w:rPr>
                <w:rFonts w:asciiTheme="minorHAnsi" w:hAnsiTheme="minorHAnsi"/>
                <w:szCs w:val="22"/>
              </w:rPr>
            </w:pPr>
            <w:r>
              <w:rPr>
                <w:rFonts w:asciiTheme="minorHAnsi" w:hAnsiTheme="minorHAnsi"/>
                <w:szCs w:val="22"/>
              </w:rPr>
              <w:t>7</w:t>
            </w:r>
          </w:p>
        </w:tc>
        <w:tc>
          <w:tcPr>
            <w:tcW w:w="0" w:type="auto"/>
            <w:shd w:val="clear" w:color="auto" w:fill="B3E5A1" w:themeFill="accent6" w:themeFillTint="66"/>
          </w:tcPr>
          <w:p w14:paraId="1764D808" w14:textId="77777777" w:rsidR="002D6B2C" w:rsidRPr="00606F06"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06F06">
              <w:rPr>
                <w:rFonts w:asciiTheme="minorHAnsi" w:hAnsiTheme="minorHAnsi"/>
                <w:szCs w:val="22"/>
              </w:rPr>
              <w:t>ETR</w:t>
            </w:r>
          </w:p>
        </w:tc>
        <w:tc>
          <w:tcPr>
            <w:tcW w:w="0" w:type="auto"/>
          </w:tcPr>
          <w:p w14:paraId="12C06368" w14:textId="77777777" w:rsidR="002D6B2C" w:rsidRPr="006945F2"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Entergy</w:t>
            </w:r>
          </w:p>
        </w:tc>
        <w:tc>
          <w:tcPr>
            <w:tcW w:w="0" w:type="auto"/>
          </w:tcPr>
          <w:p w14:paraId="79B23E9B" w14:textId="77777777" w:rsidR="002D6B2C" w:rsidRDefault="002D6B2C" w:rsidP="001B7BE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4618B87E"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3D6AA11A"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$86-$115</w:t>
            </w:r>
          </w:p>
        </w:tc>
        <w:tc>
          <w:tcPr>
            <w:tcW w:w="0" w:type="auto"/>
            <w:shd w:val="clear" w:color="auto" w:fill="B3E5A1" w:themeFill="accent6" w:themeFillTint="66"/>
          </w:tcPr>
          <w:p w14:paraId="3EB3286E" w14:textId="4F9CAD91" w:rsidR="002D6B2C" w:rsidRPr="00FB7E70"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FB7E70">
              <w:rPr>
                <w:rFonts w:asciiTheme="minorHAnsi" w:hAnsiTheme="minorHAnsi"/>
                <w:szCs w:val="22"/>
              </w:rPr>
              <w:t>$106</w:t>
            </w:r>
          </w:p>
        </w:tc>
        <w:tc>
          <w:tcPr>
            <w:tcW w:w="0" w:type="auto"/>
          </w:tcPr>
          <w:p w14:paraId="7A22D076" w14:textId="77777777" w:rsidR="002D6B2C"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12.9%</w:t>
            </w:r>
          </w:p>
        </w:tc>
      </w:tr>
      <w:tr w:rsidR="002C77DF" w:rsidRPr="006945F2" w14:paraId="58A88A5E" w14:textId="77777777" w:rsidTr="00F503EC">
        <w:tc>
          <w:tcPr>
            <w:cnfStyle w:val="001000000000" w:firstRow="0" w:lastRow="0" w:firstColumn="1" w:lastColumn="0" w:oddVBand="0" w:evenVBand="0" w:oddHBand="0" w:evenHBand="0" w:firstRowFirstColumn="0" w:firstRowLastColumn="0" w:lastRowFirstColumn="0" w:lastRowLastColumn="0"/>
            <w:tcW w:w="0" w:type="auto"/>
          </w:tcPr>
          <w:p w14:paraId="48F26B4B" w14:textId="44AE90C0" w:rsidR="002D6B2C" w:rsidRDefault="002D6B2C">
            <w:pPr>
              <w:pStyle w:val="p1"/>
              <w:rPr>
                <w:rFonts w:asciiTheme="minorHAnsi" w:hAnsiTheme="minorHAnsi"/>
                <w:szCs w:val="22"/>
              </w:rPr>
            </w:pPr>
            <w:r>
              <w:rPr>
                <w:rFonts w:asciiTheme="minorHAnsi" w:hAnsiTheme="minorHAnsi"/>
                <w:szCs w:val="22"/>
              </w:rPr>
              <w:t>8</w:t>
            </w:r>
          </w:p>
        </w:tc>
        <w:tc>
          <w:tcPr>
            <w:tcW w:w="0" w:type="auto"/>
            <w:shd w:val="clear" w:color="auto" w:fill="B3E5A1" w:themeFill="accent6" w:themeFillTint="66"/>
          </w:tcPr>
          <w:p w14:paraId="170AF484" w14:textId="77777777" w:rsidR="002D6B2C" w:rsidRPr="00FB7E70"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B7E70">
              <w:rPr>
                <w:rFonts w:asciiTheme="minorHAnsi" w:hAnsiTheme="minorHAnsi"/>
                <w:szCs w:val="22"/>
              </w:rPr>
              <w:t>SRE</w:t>
            </w:r>
          </w:p>
        </w:tc>
        <w:tc>
          <w:tcPr>
            <w:tcW w:w="0" w:type="auto"/>
          </w:tcPr>
          <w:p w14:paraId="1A531E62" w14:textId="77777777" w:rsidR="002D6B2C"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Sempra Energy</w:t>
            </w:r>
          </w:p>
        </w:tc>
        <w:tc>
          <w:tcPr>
            <w:tcW w:w="0" w:type="auto"/>
          </w:tcPr>
          <w:p w14:paraId="01C15273" w14:textId="77777777" w:rsidR="002D6B2C" w:rsidRDefault="002D6B2C" w:rsidP="001B7BE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7084A5C5" w14:textId="77777777" w:rsidR="002D6B2C"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2BD865EA" w14:textId="77777777" w:rsidR="002D6B2C"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$89-$115</w:t>
            </w:r>
          </w:p>
        </w:tc>
        <w:tc>
          <w:tcPr>
            <w:tcW w:w="0" w:type="auto"/>
            <w:shd w:val="clear" w:color="auto" w:fill="B3E5A1" w:themeFill="accent6" w:themeFillTint="66"/>
          </w:tcPr>
          <w:p w14:paraId="27CA8944" w14:textId="77777777" w:rsidR="002D6B2C" w:rsidRPr="00FB7E70"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B7E70">
              <w:rPr>
                <w:rFonts w:asciiTheme="minorHAnsi" w:hAnsiTheme="minorHAnsi"/>
                <w:szCs w:val="22"/>
              </w:rPr>
              <w:t>$101</w:t>
            </w:r>
          </w:p>
        </w:tc>
        <w:tc>
          <w:tcPr>
            <w:tcW w:w="0" w:type="auto"/>
          </w:tcPr>
          <w:p w14:paraId="2000C594" w14:textId="77777777" w:rsidR="002D6B2C"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12.0%</w:t>
            </w:r>
          </w:p>
        </w:tc>
      </w:tr>
      <w:tr w:rsidR="002C77DF" w:rsidRPr="006945F2" w14:paraId="7BD41E07"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D11C8D" w14:textId="61D42134" w:rsidR="002D6B2C" w:rsidRPr="006945F2" w:rsidRDefault="002D6B2C">
            <w:pPr>
              <w:pStyle w:val="p1"/>
              <w:rPr>
                <w:rFonts w:asciiTheme="minorHAnsi" w:hAnsiTheme="minorHAnsi"/>
                <w:b w:val="0"/>
                <w:bCs w:val="0"/>
                <w:szCs w:val="22"/>
              </w:rPr>
            </w:pPr>
            <w:r>
              <w:rPr>
                <w:rFonts w:asciiTheme="minorHAnsi" w:hAnsiTheme="minorHAnsi"/>
                <w:szCs w:val="22"/>
              </w:rPr>
              <w:t>9</w:t>
            </w:r>
          </w:p>
        </w:tc>
        <w:tc>
          <w:tcPr>
            <w:tcW w:w="0" w:type="auto"/>
            <w:shd w:val="clear" w:color="auto" w:fill="B3E5A1" w:themeFill="accent6" w:themeFillTint="66"/>
            <w:hideMark/>
          </w:tcPr>
          <w:p w14:paraId="75413658" w14:textId="58144BA0" w:rsidR="002D6B2C" w:rsidRPr="00606F06"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06F06">
              <w:rPr>
                <w:rFonts w:asciiTheme="minorHAnsi" w:hAnsiTheme="minorHAnsi"/>
                <w:szCs w:val="22"/>
              </w:rPr>
              <w:t>DUK</w:t>
            </w:r>
            <w:r w:rsidR="00B032D2" w:rsidRPr="00B032D2">
              <w:rPr>
                <w:rFonts w:asciiTheme="minorHAnsi" w:hAnsiTheme="minorHAnsi"/>
                <w:szCs w:val="22"/>
                <w:vertAlign w:val="superscript"/>
              </w:rPr>
              <w:t>3</w:t>
            </w:r>
          </w:p>
        </w:tc>
        <w:tc>
          <w:tcPr>
            <w:tcW w:w="0" w:type="auto"/>
            <w:hideMark/>
          </w:tcPr>
          <w:p w14:paraId="61CEC81A" w14:textId="77777777" w:rsidR="002D6B2C" w:rsidRPr="006945F2" w:rsidRDefault="002D6B2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6945F2">
              <w:rPr>
                <w:rFonts w:asciiTheme="minorHAnsi" w:hAnsiTheme="minorHAnsi"/>
                <w:szCs w:val="22"/>
              </w:rPr>
              <w:t>Duke Energy</w:t>
            </w:r>
          </w:p>
        </w:tc>
        <w:tc>
          <w:tcPr>
            <w:tcW w:w="0" w:type="auto"/>
            <w:hideMark/>
          </w:tcPr>
          <w:p w14:paraId="54DF6A21" w14:textId="77777777" w:rsidR="002D6B2C" w:rsidRPr="006945F2" w:rsidRDefault="002D6B2C" w:rsidP="001B7BE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9F76848"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hideMark/>
          </w:tcPr>
          <w:p w14:paraId="43684209"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$126-$150</w:t>
            </w:r>
          </w:p>
        </w:tc>
        <w:tc>
          <w:tcPr>
            <w:tcW w:w="0" w:type="auto"/>
            <w:shd w:val="clear" w:color="auto" w:fill="B3E5A1" w:themeFill="accent6" w:themeFillTint="66"/>
            <w:hideMark/>
          </w:tcPr>
          <w:p w14:paraId="11BA2FBC" w14:textId="77777777" w:rsidR="002D6B2C" w:rsidRPr="00FB7E70"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FB7E70">
              <w:rPr>
                <w:rFonts w:asciiTheme="minorHAnsi" w:hAnsiTheme="minorHAnsi"/>
                <w:szCs w:val="22"/>
              </w:rPr>
              <w:t>$131</w:t>
            </w:r>
          </w:p>
        </w:tc>
        <w:tc>
          <w:tcPr>
            <w:tcW w:w="0" w:type="auto"/>
            <w:hideMark/>
          </w:tcPr>
          <w:p w14:paraId="2EC5F852" w14:textId="77777777" w:rsidR="002D6B2C" w:rsidRPr="006945F2" w:rsidRDefault="002D6B2C" w:rsidP="001B7BE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11.1%</w:t>
            </w:r>
          </w:p>
        </w:tc>
      </w:tr>
      <w:tr w:rsidR="002C77DF" w:rsidRPr="006945F2" w14:paraId="40BD376D" w14:textId="77777777" w:rsidTr="00AD3E10">
        <w:tc>
          <w:tcPr>
            <w:cnfStyle w:val="001000000000" w:firstRow="0" w:lastRow="0" w:firstColumn="1" w:lastColumn="0" w:oddVBand="0" w:evenVBand="0" w:oddHBand="0" w:evenHBand="0" w:firstRowFirstColumn="0" w:firstRowLastColumn="0" w:lastRowFirstColumn="0" w:lastRowLastColumn="0"/>
            <w:tcW w:w="0" w:type="auto"/>
            <w:hideMark/>
          </w:tcPr>
          <w:p w14:paraId="1390F43F" w14:textId="0FCCA103" w:rsidR="002D6B2C" w:rsidRPr="006945F2" w:rsidRDefault="002D6B2C">
            <w:pPr>
              <w:pStyle w:val="p1"/>
              <w:rPr>
                <w:rFonts w:asciiTheme="minorHAnsi" w:hAnsiTheme="minorHAnsi"/>
                <w:szCs w:val="22"/>
              </w:rPr>
            </w:pPr>
            <w:r>
              <w:rPr>
                <w:rFonts w:asciiTheme="minorHAnsi" w:hAnsiTheme="minorHAnsi"/>
                <w:szCs w:val="22"/>
              </w:rPr>
              <w:t>10</w:t>
            </w:r>
          </w:p>
        </w:tc>
        <w:tc>
          <w:tcPr>
            <w:tcW w:w="0" w:type="auto"/>
            <w:shd w:val="clear" w:color="auto" w:fill="B3E5A1" w:themeFill="accent6" w:themeFillTint="66"/>
            <w:hideMark/>
          </w:tcPr>
          <w:p w14:paraId="3AF6D88C" w14:textId="563BE40D" w:rsidR="002D6B2C" w:rsidRPr="00606F06"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06F06">
              <w:rPr>
                <w:rFonts w:asciiTheme="minorHAnsi" w:hAnsiTheme="minorHAnsi"/>
                <w:szCs w:val="22"/>
              </w:rPr>
              <w:t>SO</w:t>
            </w:r>
            <w:r w:rsidR="00F14D47" w:rsidRPr="00F14D47">
              <w:rPr>
                <w:rFonts w:asciiTheme="minorHAnsi" w:hAnsiTheme="minorHAnsi"/>
                <w:szCs w:val="22"/>
                <w:vertAlign w:val="superscript"/>
              </w:rPr>
              <w:t>3</w:t>
            </w:r>
          </w:p>
        </w:tc>
        <w:tc>
          <w:tcPr>
            <w:tcW w:w="0" w:type="auto"/>
            <w:hideMark/>
          </w:tcPr>
          <w:p w14:paraId="2ADE4D86" w14:textId="77777777" w:rsidR="002D6B2C" w:rsidRPr="006945F2" w:rsidRDefault="002D6B2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945F2">
              <w:rPr>
                <w:rFonts w:asciiTheme="minorHAnsi" w:hAnsiTheme="minorHAnsi"/>
                <w:szCs w:val="22"/>
              </w:rPr>
              <w:t>Southern*</w:t>
            </w:r>
          </w:p>
        </w:tc>
        <w:tc>
          <w:tcPr>
            <w:tcW w:w="0" w:type="auto"/>
            <w:hideMark/>
          </w:tcPr>
          <w:p w14:paraId="2D50DF47" w14:textId="77777777" w:rsidR="002D6B2C" w:rsidRPr="006945F2" w:rsidRDefault="002D6B2C" w:rsidP="001B7BE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945F2">
              <w:rPr>
                <w:rFonts w:asciiTheme="minorHAnsi" w:hAnsiTheme="minorHAnsi"/>
                <w:szCs w:val="22"/>
              </w:rPr>
              <w:t>N</w:t>
            </w:r>
          </w:p>
        </w:tc>
        <w:tc>
          <w:tcPr>
            <w:tcW w:w="0" w:type="auto"/>
            <w:hideMark/>
          </w:tcPr>
          <w:p w14:paraId="12927938"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0.84</w:t>
            </w:r>
          </w:p>
        </w:tc>
        <w:tc>
          <w:tcPr>
            <w:tcW w:w="0" w:type="auto"/>
            <w:hideMark/>
          </w:tcPr>
          <w:p w14:paraId="18410554"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$45-$109</w:t>
            </w:r>
          </w:p>
        </w:tc>
        <w:tc>
          <w:tcPr>
            <w:tcW w:w="0" w:type="auto"/>
            <w:shd w:val="clear" w:color="auto" w:fill="B3E5A1" w:themeFill="accent6" w:themeFillTint="66"/>
            <w:hideMark/>
          </w:tcPr>
          <w:p w14:paraId="117632E6" w14:textId="185798D7" w:rsidR="002D6B2C" w:rsidRPr="00FB7E70"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FB7E70">
              <w:rPr>
                <w:rFonts w:asciiTheme="minorHAnsi" w:hAnsiTheme="minorHAnsi"/>
                <w:szCs w:val="22"/>
              </w:rPr>
              <w:t>$98</w:t>
            </w:r>
          </w:p>
        </w:tc>
        <w:tc>
          <w:tcPr>
            <w:tcW w:w="0" w:type="auto"/>
            <w:hideMark/>
          </w:tcPr>
          <w:p w14:paraId="7E8B4AB0" w14:textId="77777777" w:rsidR="002D6B2C" w:rsidRPr="006945F2" w:rsidRDefault="002D6B2C" w:rsidP="001B7BE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11.8%</w:t>
            </w:r>
          </w:p>
        </w:tc>
      </w:tr>
    </w:tbl>
    <w:p w14:paraId="7FE2E41D" w14:textId="77777777" w:rsidR="001B7BEE" w:rsidRPr="005C3B4E" w:rsidRDefault="001B7BEE" w:rsidP="001B7BEE">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70080A45" w14:textId="77777777" w:rsidR="00606F06" w:rsidRDefault="00606F06" w:rsidP="00606F06">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4A1DC2BE" w14:textId="77777777" w:rsidR="005C56BD" w:rsidRDefault="00606F06" w:rsidP="006945F2">
      <w:pPr>
        <w:pStyle w:val="p1"/>
        <w:rPr>
          <w:sz w:val="20"/>
          <w:szCs w:val="20"/>
        </w:rPr>
      </w:pPr>
      <w:r w:rsidRPr="00B00B77">
        <w:rPr>
          <w:sz w:val="20"/>
          <w:szCs w:val="20"/>
          <w:vertAlign w:val="superscript"/>
        </w:rPr>
        <w:t>3</w:t>
      </w:r>
      <w:r>
        <w:rPr>
          <w:sz w:val="20"/>
          <w:szCs w:val="20"/>
        </w:rPr>
        <w:t xml:space="preserve"> Company has notable dividend component.</w:t>
      </w:r>
    </w:p>
    <w:p w14:paraId="61E97FAA" w14:textId="037E05C1" w:rsidR="006945F2" w:rsidRPr="005C56BD" w:rsidRDefault="005C56BD" w:rsidP="006945F2">
      <w:pPr>
        <w:pStyle w:val="p1"/>
        <w:rPr>
          <w:b/>
          <w:bCs/>
          <w:kern w:val="36"/>
          <w:sz w:val="28"/>
          <w:szCs w:val="28"/>
        </w:rPr>
      </w:pPr>
      <w:r>
        <w:rPr>
          <w:sz w:val="20"/>
          <w:szCs w:val="20"/>
        </w:rPr>
        <w:t>Notes: Tickers highlighted green were selected.  Thesis 1-year targets highlighted in green were achieved during calendar year 2026.</w:t>
      </w:r>
      <w:r w:rsidR="00C23D3F" w:rsidRPr="00511F56">
        <w:rPr>
          <w:b/>
          <w:bCs/>
          <w:kern w:val="36"/>
          <w:sz w:val="28"/>
          <w:szCs w:val="28"/>
        </w:rPr>
        <w:br w:type="page"/>
      </w:r>
    </w:p>
    <w:p w14:paraId="785F1B15" w14:textId="0E506235" w:rsidR="00AD5DE8" w:rsidRDefault="00AD5DE8" w:rsidP="009B48AB">
      <w:pPr>
        <w:pStyle w:val="Heading3"/>
      </w:pPr>
      <w:r>
        <w:lastRenderedPageBreak/>
        <w:t xml:space="preserve">Consumer Discretionary </w:t>
      </w:r>
      <w:r w:rsidR="0090480D">
        <w:t xml:space="preserve">(Cyclicals) </w:t>
      </w:r>
      <w:r>
        <w:t>Sector Outlook:</w:t>
      </w:r>
    </w:p>
    <w:p w14:paraId="39A22753" w14:textId="77777777" w:rsidR="001721D2" w:rsidRPr="005C3B4E" w:rsidRDefault="001721D2" w:rsidP="001721D2">
      <w:pPr>
        <w:pStyle w:val="p1"/>
      </w:pPr>
      <w:r w:rsidRPr="005C3B4E">
        <w:t xml:space="preserve">Consumer Discretionary enters 2026 in a </w:t>
      </w:r>
      <w:r w:rsidRPr="005C3B4E">
        <w:rPr>
          <w:rStyle w:val="s1"/>
          <w:rFonts w:eastAsiaTheme="majorEastAsia"/>
        </w:rPr>
        <w:t>meaningfully improved but highly stratified</w:t>
      </w:r>
      <w:r w:rsidRPr="005C3B4E">
        <w:t xml:space="preserve"> position versus early 2025, reflecting cooling inflation and modest rate cuts colliding with </w:t>
      </w:r>
      <w:r w:rsidRPr="005C3B4E">
        <w:rPr>
          <w:rStyle w:val="s1"/>
          <w:rFonts w:eastAsiaTheme="majorEastAsia"/>
        </w:rPr>
        <w:t>structurally higher long-term borrowing costs</w:t>
      </w:r>
      <w:r w:rsidRPr="005C3B4E">
        <w:t xml:space="preserve"> in a debt-constrained policy regime. Real income conditions improve at the margin, but credit remains selective as lenders price risk conservatively and households carry elevated debt loads. The result is a </w:t>
      </w:r>
      <w:r w:rsidRPr="005C3B4E">
        <w:rPr>
          <w:rStyle w:val="s1"/>
          <w:rFonts w:eastAsiaTheme="majorEastAsia"/>
        </w:rPr>
        <w:t>K-shaped demand profile</w:t>
      </w:r>
      <w:r w:rsidRPr="005C3B4E">
        <w:t xml:space="preserve">: higher-income consumers—supported by asset-price and wealth effects—sustain premium spending and experiences, while lower- and middle-income households increasingly </w:t>
      </w:r>
      <w:r w:rsidRPr="005C3B4E">
        <w:rPr>
          <w:rStyle w:val="s1"/>
          <w:rFonts w:eastAsiaTheme="majorEastAsia"/>
        </w:rPr>
        <w:t>trade down</w:t>
      </w:r>
      <w:r w:rsidRPr="005C3B4E">
        <w:t>, delay big-ticket purchases, and concentrate spending with value leaders and private-label offerings. Housing-linked discretionary categories stabilize but recover unevenly because housing turnover remains constrained by mortgage-rate lock-in, keeping furniture, appliances, and décor from returning to prior-cycle strength.</w:t>
      </w:r>
    </w:p>
    <w:p w14:paraId="4248DD7C" w14:textId="77777777" w:rsidR="001721D2" w:rsidRPr="005C3B4E" w:rsidRDefault="001721D2" w:rsidP="001721D2">
      <w:pPr>
        <w:pStyle w:val="p1"/>
      </w:pPr>
      <w:r w:rsidRPr="005C3B4E">
        <w:t xml:space="preserve">By mid-2026, the sector’s internal leadership is set by </w:t>
      </w:r>
      <w:r w:rsidRPr="005C3B4E">
        <w:rPr>
          <w:rStyle w:val="s1"/>
          <w:rFonts w:eastAsiaTheme="majorEastAsia"/>
        </w:rPr>
        <w:t>three forces</w:t>
      </w:r>
      <w:r w:rsidRPr="005C3B4E">
        <w:t xml:space="preserve">: (1) the continued preference shift toward </w:t>
      </w:r>
      <w:r w:rsidRPr="005C3B4E">
        <w:rPr>
          <w:rStyle w:val="s1"/>
          <w:rFonts w:eastAsiaTheme="majorEastAsia"/>
        </w:rPr>
        <w:t>experiences</w:t>
      </w:r>
      <w:r w:rsidRPr="005C3B4E">
        <w:t xml:space="preserve">, (2) </w:t>
      </w:r>
      <w:r w:rsidRPr="005C3B4E">
        <w:rPr>
          <w:rStyle w:val="s1"/>
          <w:rFonts w:eastAsiaTheme="majorEastAsia"/>
        </w:rPr>
        <w:t>AI-enabled retail productivity</w:t>
      </w:r>
      <w:r w:rsidRPr="005C3B4E">
        <w:t xml:space="preserve">, and (3) ongoing affordability and policy shocks (tariffs, energy, climate) that amplify dispersion. Travel, leisure, entertainment, and live events remain comparatively resilient, supported by domestic demand and a gradual corporate rebound, but exposed to geopolitical disruptions and fuel-price sensitivity. E-commerce continues to gain share, not just through convenience but through </w:t>
      </w:r>
      <w:r w:rsidRPr="005C3B4E">
        <w:rPr>
          <w:rStyle w:val="s1"/>
          <w:rFonts w:eastAsiaTheme="majorEastAsia"/>
        </w:rPr>
        <w:t>AI-driven logistics efficiency</w:t>
      </w:r>
      <w:r w:rsidRPr="005C3B4E">
        <w:t>, inventory optimization, personalization, and fraud mitigation—allowing scale platforms to protect margins even as consumer pricing power normalizes. Brick-and-mortar improvement concentrates in high-traffic, experience-oriented formats; mid-tier department stores and undifferentiated specialty retail remain structurally challenged, squeezed between value leaders and premium brands with loyalty and pricing power. Auto demand benefits from a long-delayed replacement cycle and strong hybrid interest, but affordability pressures, tariff impacts, and uneven EV incentives keep the category from becoming a broad-based growth engine.</w:t>
      </w:r>
    </w:p>
    <w:p w14:paraId="56A5EFA8" w14:textId="77777777" w:rsidR="001721D2" w:rsidRPr="005C3B4E" w:rsidRDefault="001721D2" w:rsidP="001721D2">
      <w:pPr>
        <w:pStyle w:val="p1"/>
      </w:pPr>
      <w:r w:rsidRPr="005C3B4E">
        <w:t xml:space="preserve">By late 2026, the sector’s picture is broadly constructive but </w:t>
      </w:r>
      <w:r w:rsidRPr="005C3B4E">
        <w:rPr>
          <w:rStyle w:val="s1"/>
          <w:rFonts w:eastAsiaTheme="majorEastAsia"/>
        </w:rPr>
        <w:t>dispersion-driven</w:t>
      </w:r>
      <w:r w:rsidRPr="005C3B4E">
        <w:t xml:space="preserve">: outperformers are global experience leaders, premium brands with durable loyalty, and scale platforms (e-commerce and value retail) that convert AI into measurable productivity. Laggards are credit-dependent discretionary categories, traditional retail lacking differentiation, and businesses exposed to operational shocks (climate disruptions, insurance costs, AI-enabled fraud) without scale or execution capacity. Overall, 2026 is a </w:t>
      </w:r>
      <w:r w:rsidRPr="005C3B4E">
        <w:rPr>
          <w:rStyle w:val="s1"/>
          <w:rFonts w:eastAsiaTheme="majorEastAsia"/>
        </w:rPr>
        <w:t>managed recovery</w:t>
      </w:r>
      <w:r w:rsidRPr="005C3B4E">
        <w:t xml:space="preserve">, not an exuberant consumer boom: modest real consumption growth, improving efficiency, and selective strength, with outcomes increasingly determined by </w:t>
      </w:r>
      <w:r w:rsidRPr="005C3B4E">
        <w:rPr>
          <w:rStyle w:val="s1"/>
          <w:rFonts w:eastAsiaTheme="majorEastAsia"/>
        </w:rPr>
        <w:t>workflow redesign, balance-sheet resilience, and the ability to monetize a bifurcated consumer</w:t>
      </w:r>
      <w:r w:rsidRPr="005C3B4E">
        <w:t>.</w:t>
      </w:r>
    </w:p>
    <w:p w14:paraId="116CFF56" w14:textId="77777777" w:rsidR="001721D2" w:rsidRPr="005C3B4E" w:rsidRDefault="001721D2" w:rsidP="00F216B7">
      <w:pPr>
        <w:pStyle w:val="p3"/>
      </w:pPr>
    </w:p>
    <w:p w14:paraId="7C267573" w14:textId="77777777" w:rsidR="001721D2" w:rsidRDefault="001721D2" w:rsidP="00F216B7">
      <w:pPr>
        <w:pStyle w:val="p3"/>
        <w:rPr>
          <w:b/>
          <w:bCs/>
        </w:rPr>
      </w:pPr>
    </w:p>
    <w:p w14:paraId="1C435231" w14:textId="77777777" w:rsidR="001721D2" w:rsidRDefault="001721D2" w:rsidP="00F216B7">
      <w:pPr>
        <w:pStyle w:val="p3"/>
        <w:rPr>
          <w:b/>
          <w:bCs/>
        </w:rPr>
      </w:pPr>
    </w:p>
    <w:p w14:paraId="22273CFC" w14:textId="58B7212E" w:rsidR="00F216B7" w:rsidRPr="009B48AB" w:rsidRDefault="001B23F3" w:rsidP="009B48AB">
      <w:pPr>
        <w:spacing w:after="160" w:line="278" w:lineRule="auto"/>
        <w:rPr>
          <w:b/>
          <w:bCs/>
        </w:rPr>
      </w:pPr>
      <w:r>
        <w:rPr>
          <w:b/>
          <w:bCs/>
        </w:rPr>
        <w:br w:type="page"/>
      </w:r>
      <w:r w:rsidR="00F216B7">
        <w:rPr>
          <w:b/>
          <w:bCs/>
        </w:rPr>
        <w:lastRenderedPageBreak/>
        <w:t xml:space="preserve">Top </w:t>
      </w:r>
      <w:r>
        <w:rPr>
          <w:b/>
          <w:bCs/>
        </w:rPr>
        <w:t>C</w:t>
      </w:r>
      <w:r w:rsidR="00F216B7">
        <w:rPr>
          <w:b/>
          <w:bCs/>
        </w:rPr>
        <w:t xml:space="preserve">onsumer </w:t>
      </w:r>
      <w:r>
        <w:rPr>
          <w:b/>
          <w:bCs/>
        </w:rPr>
        <w:t>D</w:t>
      </w:r>
      <w:r w:rsidR="00F216B7">
        <w:rPr>
          <w:b/>
          <w:bCs/>
        </w:rPr>
        <w:t xml:space="preserve">iscretionary </w:t>
      </w:r>
      <w:r w:rsidR="00943820">
        <w:rPr>
          <w:b/>
          <w:bCs/>
        </w:rPr>
        <w:t xml:space="preserve">(Cyclicals) </w:t>
      </w:r>
      <w:r w:rsidR="00F216B7">
        <w:rPr>
          <w:b/>
          <w:bCs/>
        </w:rPr>
        <w:t>companies positioned for 2026:</w:t>
      </w:r>
    </w:p>
    <w:tbl>
      <w:tblPr>
        <w:tblStyle w:val="ListTable4-Accent4"/>
        <w:tblW w:w="0" w:type="auto"/>
        <w:tblLook w:val="04A0" w:firstRow="1" w:lastRow="0" w:firstColumn="1" w:lastColumn="0" w:noHBand="0" w:noVBand="1"/>
      </w:tblPr>
      <w:tblGrid>
        <w:gridCol w:w="766"/>
        <w:gridCol w:w="789"/>
        <w:gridCol w:w="1843"/>
        <w:gridCol w:w="1276"/>
        <w:gridCol w:w="1170"/>
        <w:gridCol w:w="1622"/>
        <w:gridCol w:w="1077"/>
        <w:gridCol w:w="1167"/>
      </w:tblGrid>
      <w:tr w:rsidR="00431C8B" w:rsidRPr="00743573" w14:paraId="4D0D2EEB" w14:textId="77777777" w:rsidTr="009B48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88EBC8" w14:textId="77777777" w:rsidR="003A561E" w:rsidRPr="00743573" w:rsidRDefault="003A561E" w:rsidP="00BC6059">
            <w:pPr>
              <w:pStyle w:val="p1"/>
              <w:jc w:val="center"/>
              <w:rPr>
                <w:rFonts w:asciiTheme="minorHAnsi" w:hAnsiTheme="minorHAnsi"/>
                <w:szCs w:val="22"/>
              </w:rPr>
            </w:pPr>
            <w:r w:rsidRPr="00743573">
              <w:rPr>
                <w:rFonts w:asciiTheme="minorHAnsi" w:hAnsiTheme="minorHAnsi"/>
                <w:b w:val="0"/>
                <w:bCs w:val="0"/>
                <w:szCs w:val="22"/>
              </w:rPr>
              <w:t>Rank</w:t>
            </w:r>
            <w:r w:rsidRPr="006D088E">
              <w:rPr>
                <w:rFonts w:asciiTheme="minorHAnsi" w:hAnsiTheme="minorHAnsi"/>
                <w:b w:val="0"/>
                <w:bCs w:val="0"/>
                <w:szCs w:val="22"/>
                <w:vertAlign w:val="superscript"/>
              </w:rPr>
              <w:t>1</w:t>
            </w:r>
          </w:p>
        </w:tc>
        <w:tc>
          <w:tcPr>
            <w:tcW w:w="0" w:type="auto"/>
            <w:hideMark/>
          </w:tcPr>
          <w:p w14:paraId="6ECA12FF"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43573">
              <w:rPr>
                <w:rFonts w:asciiTheme="minorHAnsi" w:hAnsiTheme="minorHAnsi"/>
                <w:b w:val="0"/>
                <w:bCs w:val="0"/>
                <w:szCs w:val="22"/>
              </w:rPr>
              <w:t>Ticker</w:t>
            </w:r>
          </w:p>
        </w:tc>
        <w:tc>
          <w:tcPr>
            <w:tcW w:w="0" w:type="auto"/>
            <w:hideMark/>
          </w:tcPr>
          <w:p w14:paraId="5947BB71"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43573">
              <w:rPr>
                <w:rFonts w:asciiTheme="minorHAnsi" w:hAnsiTheme="minorHAnsi"/>
                <w:b w:val="0"/>
                <w:bCs w:val="0"/>
                <w:szCs w:val="22"/>
              </w:rPr>
              <w:t>Company</w:t>
            </w:r>
          </w:p>
        </w:tc>
        <w:tc>
          <w:tcPr>
            <w:tcW w:w="1276" w:type="dxa"/>
            <w:hideMark/>
          </w:tcPr>
          <w:p w14:paraId="2FEED32A"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43573">
              <w:rPr>
                <w:rFonts w:asciiTheme="minorHAnsi" w:hAnsiTheme="minorHAnsi"/>
                <w:b w:val="0"/>
                <w:bCs w:val="0"/>
                <w:szCs w:val="22"/>
              </w:rPr>
              <w:t>Top 5 Total Return</w:t>
            </w:r>
          </w:p>
        </w:tc>
        <w:tc>
          <w:tcPr>
            <w:tcW w:w="1170" w:type="dxa"/>
            <w:hideMark/>
          </w:tcPr>
          <w:p w14:paraId="7827C86C"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1622" w:type="dxa"/>
            <w:hideMark/>
          </w:tcPr>
          <w:p w14:paraId="2940D318"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B35BE4">
              <w:rPr>
                <w:rFonts w:asciiTheme="minorHAnsi" w:hAnsiTheme="minorHAnsi"/>
                <w:b w:val="0"/>
                <w:bCs w:val="0"/>
                <w:sz w:val="20"/>
                <w:szCs w:val="20"/>
              </w:rPr>
              <w:t>Analyst 1-yr target</w:t>
            </w:r>
          </w:p>
        </w:tc>
        <w:tc>
          <w:tcPr>
            <w:tcW w:w="0" w:type="auto"/>
            <w:hideMark/>
          </w:tcPr>
          <w:p w14:paraId="36EEFCF0"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1-yr target</w:t>
            </w:r>
          </w:p>
        </w:tc>
        <w:tc>
          <w:tcPr>
            <w:tcW w:w="0" w:type="auto"/>
            <w:hideMark/>
          </w:tcPr>
          <w:p w14:paraId="096A4607" w14:textId="77777777" w:rsidR="003A561E" w:rsidRPr="00743573" w:rsidRDefault="003A561E" w:rsidP="00BC6059">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Pr>
                <w:rFonts w:asciiTheme="minorHAnsi" w:hAnsiTheme="minorHAnsi"/>
                <w:b w:val="0"/>
                <w:bCs w:val="0"/>
                <w:sz w:val="20"/>
                <w:szCs w:val="20"/>
              </w:rPr>
              <w:t>1-Yr</w:t>
            </w:r>
            <w:r w:rsidRPr="00B35BE4">
              <w:rPr>
                <w:rFonts w:asciiTheme="minorHAnsi" w:hAnsiTheme="minorHAnsi"/>
                <w:b w:val="0"/>
                <w:bCs w:val="0"/>
                <w:sz w:val="20"/>
                <w:szCs w:val="20"/>
              </w:rPr>
              <w:t xml:space="preserve"> Return</w:t>
            </w:r>
            <w:r>
              <w:rPr>
                <w:rFonts w:asciiTheme="minorHAnsi" w:hAnsiTheme="minorHAnsi"/>
                <w:b w:val="0"/>
                <w:bCs w:val="0"/>
                <w:sz w:val="20"/>
                <w:szCs w:val="20"/>
              </w:rPr>
              <w:br/>
              <w:t>(Thesis)</w:t>
            </w:r>
          </w:p>
        </w:tc>
      </w:tr>
      <w:tr w:rsidR="00431C8B" w:rsidRPr="00743573" w14:paraId="70C63230" w14:textId="77777777" w:rsidTr="009A1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CDC5F1" w14:textId="77777777" w:rsidR="003A561E" w:rsidRPr="00743573" w:rsidRDefault="003A561E">
            <w:pPr>
              <w:pStyle w:val="p1"/>
              <w:rPr>
                <w:rFonts w:asciiTheme="minorHAnsi" w:hAnsiTheme="minorHAnsi"/>
                <w:b w:val="0"/>
                <w:bCs w:val="0"/>
                <w:szCs w:val="22"/>
              </w:rPr>
            </w:pPr>
            <w:r w:rsidRPr="00743573">
              <w:rPr>
                <w:rFonts w:asciiTheme="minorHAnsi" w:hAnsiTheme="minorHAnsi"/>
                <w:szCs w:val="22"/>
              </w:rPr>
              <w:t>1</w:t>
            </w:r>
          </w:p>
        </w:tc>
        <w:tc>
          <w:tcPr>
            <w:tcW w:w="0" w:type="auto"/>
            <w:shd w:val="clear" w:color="auto" w:fill="B3E5A1" w:themeFill="accent6" w:themeFillTint="66"/>
            <w:hideMark/>
          </w:tcPr>
          <w:p w14:paraId="2A2F567D" w14:textId="77777777" w:rsidR="003A561E" w:rsidRPr="009A1CFD"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AMZN</w:t>
            </w:r>
          </w:p>
        </w:tc>
        <w:tc>
          <w:tcPr>
            <w:tcW w:w="0" w:type="auto"/>
            <w:hideMark/>
          </w:tcPr>
          <w:p w14:paraId="7515CC21" w14:textId="77777777" w:rsidR="003A561E" w:rsidRPr="00743573"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43573">
              <w:rPr>
                <w:rFonts w:asciiTheme="minorHAnsi" w:hAnsiTheme="minorHAnsi"/>
                <w:szCs w:val="22"/>
              </w:rPr>
              <w:t>Amazon.com</w:t>
            </w:r>
          </w:p>
        </w:tc>
        <w:tc>
          <w:tcPr>
            <w:tcW w:w="0" w:type="auto"/>
            <w:hideMark/>
          </w:tcPr>
          <w:p w14:paraId="6044FC35" w14:textId="77777777" w:rsidR="003A561E" w:rsidRPr="00743573" w:rsidRDefault="003A561E" w:rsidP="006D088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43573">
              <w:rPr>
                <w:rFonts w:asciiTheme="minorHAnsi" w:hAnsiTheme="minorHAnsi"/>
                <w:szCs w:val="22"/>
              </w:rPr>
              <w:t>Y</w:t>
            </w:r>
          </w:p>
        </w:tc>
        <w:tc>
          <w:tcPr>
            <w:tcW w:w="0" w:type="auto"/>
            <w:hideMark/>
          </w:tcPr>
          <w:p w14:paraId="518C5E96"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hideMark/>
          </w:tcPr>
          <w:p w14:paraId="11157876"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$250-$340</w:t>
            </w:r>
          </w:p>
        </w:tc>
        <w:tc>
          <w:tcPr>
            <w:tcW w:w="0" w:type="auto"/>
            <w:hideMark/>
          </w:tcPr>
          <w:p w14:paraId="7FBB03C8"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$295</w:t>
            </w:r>
          </w:p>
        </w:tc>
        <w:tc>
          <w:tcPr>
            <w:tcW w:w="0" w:type="auto"/>
            <w:hideMark/>
          </w:tcPr>
          <w:p w14:paraId="448D0358"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30.2%</w:t>
            </w:r>
          </w:p>
        </w:tc>
      </w:tr>
      <w:tr w:rsidR="00431C8B" w:rsidRPr="00743573" w14:paraId="77C25032" w14:textId="77777777" w:rsidTr="009A1CFD">
        <w:tc>
          <w:tcPr>
            <w:cnfStyle w:val="001000000000" w:firstRow="0" w:lastRow="0" w:firstColumn="1" w:lastColumn="0" w:oddVBand="0" w:evenVBand="0" w:oddHBand="0" w:evenHBand="0" w:firstRowFirstColumn="0" w:firstRowLastColumn="0" w:lastRowFirstColumn="0" w:lastRowLastColumn="0"/>
            <w:tcW w:w="0" w:type="auto"/>
          </w:tcPr>
          <w:p w14:paraId="7E8058DD" w14:textId="77777777" w:rsidR="003A561E" w:rsidRDefault="003A561E">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tcPr>
          <w:p w14:paraId="1CDE190A" w14:textId="72BB462D" w:rsidR="003A561E" w:rsidRPr="009A1CFD"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ORLY</w:t>
            </w:r>
          </w:p>
        </w:tc>
        <w:tc>
          <w:tcPr>
            <w:tcW w:w="0" w:type="auto"/>
          </w:tcPr>
          <w:p w14:paraId="0F7346C3" w14:textId="77777777" w:rsidR="003A561E"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O’Reilly Auto</w:t>
            </w:r>
          </w:p>
        </w:tc>
        <w:tc>
          <w:tcPr>
            <w:tcW w:w="0" w:type="auto"/>
          </w:tcPr>
          <w:p w14:paraId="546E6E2C" w14:textId="77777777" w:rsidR="003A561E" w:rsidRDefault="003A561E" w:rsidP="006D088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2B8564D4"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tcPr>
          <w:p w14:paraId="3779E080"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$91-$125</w:t>
            </w:r>
          </w:p>
        </w:tc>
        <w:tc>
          <w:tcPr>
            <w:tcW w:w="0" w:type="auto"/>
          </w:tcPr>
          <w:p w14:paraId="59A64CEA"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$114</w:t>
            </w:r>
          </w:p>
        </w:tc>
        <w:tc>
          <w:tcPr>
            <w:tcW w:w="0" w:type="auto"/>
          </w:tcPr>
          <w:p w14:paraId="5BE1929C"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25.6%</w:t>
            </w:r>
          </w:p>
        </w:tc>
      </w:tr>
      <w:tr w:rsidR="00431C8B" w:rsidRPr="00743573" w14:paraId="548DEAF5" w14:textId="77777777" w:rsidTr="009A1C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48B9315" w14:textId="6F015A4A" w:rsidR="003A561E" w:rsidRPr="00743573" w:rsidRDefault="003A561E">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299695AD" w14:textId="77777777" w:rsidR="003A561E" w:rsidRPr="009A1CFD"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DASH</w:t>
            </w:r>
          </w:p>
        </w:tc>
        <w:tc>
          <w:tcPr>
            <w:tcW w:w="0" w:type="auto"/>
          </w:tcPr>
          <w:p w14:paraId="10F8C9DE" w14:textId="77777777" w:rsidR="003A561E" w:rsidRPr="00743573"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DoorDash, Inc.</w:t>
            </w:r>
          </w:p>
        </w:tc>
        <w:tc>
          <w:tcPr>
            <w:tcW w:w="0" w:type="auto"/>
          </w:tcPr>
          <w:p w14:paraId="33651015" w14:textId="77777777" w:rsidR="003A561E" w:rsidRPr="00743573" w:rsidRDefault="003A561E" w:rsidP="006D088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4726C594"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35769156"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$205-$360</w:t>
            </w:r>
          </w:p>
        </w:tc>
        <w:tc>
          <w:tcPr>
            <w:tcW w:w="0" w:type="auto"/>
          </w:tcPr>
          <w:p w14:paraId="20B27087"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$282</w:t>
            </w:r>
          </w:p>
        </w:tc>
        <w:tc>
          <w:tcPr>
            <w:tcW w:w="0" w:type="auto"/>
          </w:tcPr>
          <w:p w14:paraId="7893AE2D"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28.2%</w:t>
            </w:r>
          </w:p>
        </w:tc>
      </w:tr>
      <w:tr w:rsidR="00431C8B" w:rsidRPr="00743573" w14:paraId="3BEAFE57"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637BA785" w14:textId="51FBB6EA" w:rsidR="003A561E" w:rsidRPr="00743573" w:rsidRDefault="003A561E">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tcPr>
          <w:p w14:paraId="19D69673" w14:textId="77777777" w:rsidR="003A561E" w:rsidRPr="009A1CFD"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TSLA</w:t>
            </w:r>
          </w:p>
        </w:tc>
        <w:tc>
          <w:tcPr>
            <w:tcW w:w="0" w:type="auto"/>
          </w:tcPr>
          <w:p w14:paraId="58567A4A" w14:textId="77777777" w:rsidR="003A561E" w:rsidRPr="00743573"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Tesla, Inc.</w:t>
            </w:r>
          </w:p>
        </w:tc>
        <w:tc>
          <w:tcPr>
            <w:tcW w:w="0" w:type="auto"/>
          </w:tcPr>
          <w:p w14:paraId="089E51C9" w14:textId="77777777" w:rsidR="003A561E" w:rsidRPr="00743573" w:rsidRDefault="003A561E" w:rsidP="006D088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3CB44AE3"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6BA9A926"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$19-$600</w:t>
            </w:r>
          </w:p>
        </w:tc>
        <w:tc>
          <w:tcPr>
            <w:tcW w:w="0" w:type="auto"/>
          </w:tcPr>
          <w:p w14:paraId="66CB09F8"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$533</w:t>
            </w:r>
          </w:p>
        </w:tc>
        <w:tc>
          <w:tcPr>
            <w:tcW w:w="0" w:type="auto"/>
          </w:tcPr>
          <w:p w14:paraId="164A4FFB"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21.6%</w:t>
            </w:r>
          </w:p>
        </w:tc>
      </w:tr>
      <w:tr w:rsidR="00431C8B" w:rsidRPr="00743573" w14:paraId="1018C072" w14:textId="77777777" w:rsidTr="00431C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12C2540" w14:textId="0E5AD65D" w:rsidR="003A561E" w:rsidRDefault="003A561E">
            <w:pPr>
              <w:pStyle w:val="p1"/>
              <w:rPr>
                <w:rFonts w:asciiTheme="minorHAnsi" w:hAnsiTheme="minorHAnsi"/>
                <w:szCs w:val="22"/>
              </w:rPr>
            </w:pPr>
            <w:r>
              <w:rPr>
                <w:rFonts w:asciiTheme="minorHAnsi" w:hAnsiTheme="minorHAnsi"/>
                <w:szCs w:val="22"/>
              </w:rPr>
              <w:t>5</w:t>
            </w:r>
          </w:p>
        </w:tc>
        <w:tc>
          <w:tcPr>
            <w:tcW w:w="0" w:type="auto"/>
          </w:tcPr>
          <w:p w14:paraId="559DD354" w14:textId="48D1BF74" w:rsidR="003A561E" w:rsidRPr="009A1CFD"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HD</w:t>
            </w:r>
            <w:r w:rsidR="00431C8B" w:rsidRPr="00431C8B">
              <w:rPr>
                <w:rFonts w:asciiTheme="minorHAnsi" w:hAnsiTheme="minorHAnsi"/>
                <w:szCs w:val="22"/>
                <w:vertAlign w:val="superscript"/>
              </w:rPr>
              <w:t>3</w:t>
            </w:r>
          </w:p>
        </w:tc>
        <w:tc>
          <w:tcPr>
            <w:tcW w:w="0" w:type="auto"/>
          </w:tcPr>
          <w:p w14:paraId="22C11782" w14:textId="77777777" w:rsidR="003A561E" w:rsidRPr="00743573"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Home Depot</w:t>
            </w:r>
          </w:p>
        </w:tc>
        <w:tc>
          <w:tcPr>
            <w:tcW w:w="0" w:type="auto"/>
          </w:tcPr>
          <w:p w14:paraId="64AF8F78" w14:textId="77777777" w:rsidR="003A561E" w:rsidRDefault="003A561E" w:rsidP="006D088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3E1FE61B"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68CB68C8"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$320-$450</w:t>
            </w:r>
          </w:p>
        </w:tc>
        <w:tc>
          <w:tcPr>
            <w:tcW w:w="0" w:type="auto"/>
          </w:tcPr>
          <w:p w14:paraId="5E7FABBA" w14:textId="740A91F8" w:rsidR="003A561E" w:rsidRPr="00431C8B"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31C8B">
              <w:rPr>
                <w:rFonts w:asciiTheme="minorHAnsi" w:hAnsiTheme="minorHAnsi"/>
                <w:szCs w:val="22"/>
              </w:rPr>
              <w:t>$403</w:t>
            </w:r>
          </w:p>
        </w:tc>
        <w:tc>
          <w:tcPr>
            <w:tcW w:w="0" w:type="auto"/>
          </w:tcPr>
          <w:p w14:paraId="62EBEE10"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16.4%</w:t>
            </w:r>
          </w:p>
        </w:tc>
      </w:tr>
      <w:tr w:rsidR="00431C8B" w:rsidRPr="00743573" w14:paraId="1F8C727D"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209B86B8" w14:textId="2A503661" w:rsidR="003A561E" w:rsidRDefault="003A561E">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tcPr>
          <w:p w14:paraId="098C0841" w14:textId="77777777" w:rsidR="003A561E" w:rsidRPr="009A1CFD"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CMG</w:t>
            </w:r>
          </w:p>
        </w:tc>
        <w:tc>
          <w:tcPr>
            <w:tcW w:w="0" w:type="auto"/>
          </w:tcPr>
          <w:p w14:paraId="5C255D0F" w14:textId="77777777" w:rsidR="003A561E" w:rsidRPr="00743573"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Chipotle</w:t>
            </w:r>
          </w:p>
        </w:tc>
        <w:tc>
          <w:tcPr>
            <w:tcW w:w="0" w:type="auto"/>
          </w:tcPr>
          <w:p w14:paraId="206FF22D" w14:textId="77777777" w:rsidR="003A561E" w:rsidRDefault="003A561E" w:rsidP="006D088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01AA6724"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0.75</w:t>
            </w:r>
          </w:p>
        </w:tc>
        <w:tc>
          <w:tcPr>
            <w:tcW w:w="0" w:type="auto"/>
          </w:tcPr>
          <w:p w14:paraId="01438BCD"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$35-$58</w:t>
            </w:r>
          </w:p>
        </w:tc>
        <w:tc>
          <w:tcPr>
            <w:tcW w:w="0" w:type="auto"/>
          </w:tcPr>
          <w:p w14:paraId="1756E209" w14:textId="3000E835" w:rsidR="003A561E" w:rsidRPr="00431C8B"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31C8B">
              <w:rPr>
                <w:rFonts w:asciiTheme="minorHAnsi" w:hAnsiTheme="minorHAnsi"/>
                <w:szCs w:val="22"/>
              </w:rPr>
              <w:t>$48</w:t>
            </w:r>
          </w:p>
        </w:tc>
        <w:tc>
          <w:tcPr>
            <w:tcW w:w="0" w:type="auto"/>
          </w:tcPr>
          <w:p w14:paraId="7B2A4455"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26.7%</w:t>
            </w:r>
          </w:p>
        </w:tc>
      </w:tr>
      <w:tr w:rsidR="00431C8B" w:rsidRPr="00743573" w14:paraId="3F90917F"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A10E9D1" w14:textId="774BA4F9" w:rsidR="003A561E" w:rsidRDefault="003A561E">
            <w:pPr>
              <w:pStyle w:val="p1"/>
              <w:rPr>
                <w:rFonts w:asciiTheme="minorHAnsi" w:hAnsiTheme="minorHAnsi"/>
                <w:szCs w:val="22"/>
              </w:rPr>
            </w:pPr>
            <w:r>
              <w:rPr>
                <w:rFonts w:asciiTheme="minorHAnsi" w:hAnsiTheme="minorHAnsi"/>
                <w:szCs w:val="22"/>
              </w:rPr>
              <w:t>7</w:t>
            </w:r>
          </w:p>
        </w:tc>
        <w:tc>
          <w:tcPr>
            <w:tcW w:w="0" w:type="auto"/>
          </w:tcPr>
          <w:p w14:paraId="25E6F0E9" w14:textId="548EC4A3" w:rsidR="003A561E" w:rsidRPr="009A1CFD"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GM</w:t>
            </w:r>
            <w:r w:rsidR="00431C8B" w:rsidRPr="00431C8B">
              <w:rPr>
                <w:rFonts w:asciiTheme="minorHAnsi" w:hAnsiTheme="minorHAnsi"/>
                <w:szCs w:val="22"/>
                <w:vertAlign w:val="superscript"/>
              </w:rPr>
              <w:t>3</w:t>
            </w:r>
          </w:p>
        </w:tc>
        <w:tc>
          <w:tcPr>
            <w:tcW w:w="0" w:type="auto"/>
          </w:tcPr>
          <w:p w14:paraId="27B4E965" w14:textId="77777777" w:rsidR="003A561E"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General Motors</w:t>
            </w:r>
          </w:p>
        </w:tc>
        <w:tc>
          <w:tcPr>
            <w:tcW w:w="0" w:type="auto"/>
          </w:tcPr>
          <w:p w14:paraId="626A9DDB" w14:textId="77777777" w:rsidR="003A561E" w:rsidRDefault="003A561E" w:rsidP="006D088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2F36D66B"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0.89</w:t>
            </w:r>
          </w:p>
        </w:tc>
        <w:tc>
          <w:tcPr>
            <w:tcW w:w="0" w:type="auto"/>
          </w:tcPr>
          <w:p w14:paraId="65CC8403"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$48-$100</w:t>
            </w:r>
          </w:p>
        </w:tc>
        <w:tc>
          <w:tcPr>
            <w:tcW w:w="0" w:type="auto"/>
            <w:shd w:val="clear" w:color="auto" w:fill="B3E5A1" w:themeFill="accent6" w:themeFillTint="66"/>
          </w:tcPr>
          <w:p w14:paraId="71F14951" w14:textId="384A8901" w:rsidR="003A561E" w:rsidRPr="00431C8B"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31C8B">
              <w:rPr>
                <w:rFonts w:asciiTheme="minorHAnsi" w:hAnsiTheme="minorHAnsi"/>
                <w:szCs w:val="22"/>
              </w:rPr>
              <w:t>$85</w:t>
            </w:r>
          </w:p>
        </w:tc>
        <w:tc>
          <w:tcPr>
            <w:tcW w:w="0" w:type="auto"/>
          </w:tcPr>
          <w:p w14:paraId="5096ADA6" w14:textId="77777777" w:rsidR="003A561E"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5.0%</w:t>
            </w:r>
          </w:p>
        </w:tc>
      </w:tr>
      <w:tr w:rsidR="00431C8B" w:rsidRPr="00743573" w14:paraId="5869D990" w14:textId="77777777" w:rsidTr="00431C8B">
        <w:tc>
          <w:tcPr>
            <w:cnfStyle w:val="001000000000" w:firstRow="0" w:lastRow="0" w:firstColumn="1" w:lastColumn="0" w:oddVBand="0" w:evenVBand="0" w:oddHBand="0" w:evenHBand="0" w:firstRowFirstColumn="0" w:firstRowLastColumn="0" w:lastRowFirstColumn="0" w:lastRowLastColumn="0"/>
            <w:tcW w:w="0" w:type="auto"/>
            <w:hideMark/>
          </w:tcPr>
          <w:p w14:paraId="282A86F6" w14:textId="5083330F" w:rsidR="003A561E" w:rsidRPr="00743573" w:rsidRDefault="003A561E">
            <w:pPr>
              <w:pStyle w:val="p1"/>
              <w:rPr>
                <w:rFonts w:asciiTheme="minorHAnsi" w:hAnsiTheme="minorHAnsi"/>
                <w:szCs w:val="22"/>
              </w:rPr>
            </w:pPr>
            <w:r>
              <w:rPr>
                <w:rFonts w:asciiTheme="minorHAnsi" w:hAnsiTheme="minorHAnsi"/>
                <w:szCs w:val="22"/>
              </w:rPr>
              <w:t>8</w:t>
            </w:r>
          </w:p>
        </w:tc>
        <w:tc>
          <w:tcPr>
            <w:tcW w:w="0" w:type="auto"/>
            <w:hideMark/>
          </w:tcPr>
          <w:p w14:paraId="02884C56" w14:textId="77777777" w:rsidR="003A561E" w:rsidRPr="009A1CFD"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BKNG</w:t>
            </w:r>
          </w:p>
        </w:tc>
        <w:tc>
          <w:tcPr>
            <w:tcW w:w="0" w:type="auto"/>
            <w:hideMark/>
          </w:tcPr>
          <w:p w14:paraId="41E51EDD" w14:textId="77777777" w:rsidR="003A561E" w:rsidRPr="00743573"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43573">
              <w:rPr>
                <w:rFonts w:asciiTheme="minorHAnsi" w:hAnsiTheme="minorHAnsi"/>
                <w:szCs w:val="22"/>
              </w:rPr>
              <w:t>Booking Holdings</w:t>
            </w:r>
          </w:p>
        </w:tc>
        <w:tc>
          <w:tcPr>
            <w:tcW w:w="0" w:type="auto"/>
            <w:hideMark/>
          </w:tcPr>
          <w:p w14:paraId="0DDDD0CB" w14:textId="77777777" w:rsidR="003A561E" w:rsidRPr="00743573" w:rsidRDefault="003A561E" w:rsidP="006D088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19FB153"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hideMark/>
          </w:tcPr>
          <w:p w14:paraId="36626BC2"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$5433-$6850</w:t>
            </w:r>
          </w:p>
        </w:tc>
        <w:tc>
          <w:tcPr>
            <w:tcW w:w="0" w:type="auto"/>
            <w:hideMark/>
          </w:tcPr>
          <w:p w14:paraId="78CCCA90" w14:textId="77777777" w:rsidR="003A561E" w:rsidRPr="00431C8B"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31C8B">
              <w:rPr>
                <w:rFonts w:asciiTheme="minorHAnsi" w:hAnsiTheme="minorHAnsi"/>
                <w:szCs w:val="22"/>
              </w:rPr>
              <w:t>$6146</w:t>
            </w:r>
          </w:p>
        </w:tc>
        <w:tc>
          <w:tcPr>
            <w:tcW w:w="0" w:type="auto"/>
            <w:hideMark/>
          </w:tcPr>
          <w:p w14:paraId="6383F564" w14:textId="77777777" w:rsidR="003A561E" w:rsidRPr="00743573"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15.5%</w:t>
            </w:r>
          </w:p>
        </w:tc>
      </w:tr>
      <w:tr w:rsidR="00431C8B" w:rsidRPr="00743573" w14:paraId="5A353C0A" w14:textId="77777777" w:rsidTr="00431C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0" w:type="auto"/>
            <w:hideMark/>
          </w:tcPr>
          <w:p w14:paraId="6FCC5A27" w14:textId="5149C225" w:rsidR="003A561E" w:rsidRPr="00743573" w:rsidRDefault="003A561E">
            <w:pPr>
              <w:pStyle w:val="p1"/>
              <w:rPr>
                <w:rFonts w:asciiTheme="minorHAnsi" w:hAnsiTheme="minorHAnsi"/>
                <w:szCs w:val="22"/>
              </w:rPr>
            </w:pPr>
            <w:r>
              <w:rPr>
                <w:rFonts w:asciiTheme="minorHAnsi" w:hAnsiTheme="minorHAnsi"/>
                <w:szCs w:val="22"/>
              </w:rPr>
              <w:t>9</w:t>
            </w:r>
          </w:p>
        </w:tc>
        <w:tc>
          <w:tcPr>
            <w:tcW w:w="0" w:type="auto"/>
            <w:shd w:val="clear" w:color="auto" w:fill="8DD873" w:themeFill="accent6" w:themeFillTint="99"/>
            <w:hideMark/>
          </w:tcPr>
          <w:p w14:paraId="0DAB7924" w14:textId="77777777" w:rsidR="003A561E" w:rsidRPr="009A1CFD"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A</w:t>
            </w:r>
            <w:r w:rsidRPr="00B752BF">
              <w:rPr>
                <w:rFonts w:asciiTheme="minorHAnsi" w:hAnsiTheme="minorHAnsi"/>
                <w:szCs w:val="22"/>
                <w:shd w:val="clear" w:color="auto" w:fill="B3E5A1" w:themeFill="accent6" w:themeFillTint="66"/>
              </w:rPr>
              <w:t>BNB</w:t>
            </w:r>
          </w:p>
        </w:tc>
        <w:tc>
          <w:tcPr>
            <w:tcW w:w="0" w:type="auto"/>
            <w:hideMark/>
          </w:tcPr>
          <w:p w14:paraId="06530E02" w14:textId="26050E48" w:rsidR="003A561E" w:rsidRPr="00743573" w:rsidRDefault="003A561E">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43573">
              <w:rPr>
                <w:rFonts w:asciiTheme="minorHAnsi" w:hAnsiTheme="minorHAnsi"/>
                <w:szCs w:val="22"/>
              </w:rPr>
              <w:t>Airbnb</w:t>
            </w:r>
          </w:p>
        </w:tc>
        <w:tc>
          <w:tcPr>
            <w:tcW w:w="0" w:type="auto"/>
            <w:hideMark/>
          </w:tcPr>
          <w:p w14:paraId="3B4D117C" w14:textId="77777777" w:rsidR="003A561E" w:rsidRPr="00743573" w:rsidRDefault="003A561E" w:rsidP="006D088E">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6A482B6"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0.86</w:t>
            </w:r>
          </w:p>
        </w:tc>
        <w:tc>
          <w:tcPr>
            <w:tcW w:w="0" w:type="auto"/>
            <w:hideMark/>
          </w:tcPr>
          <w:p w14:paraId="40375097"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$107-$180</w:t>
            </w:r>
          </w:p>
        </w:tc>
        <w:tc>
          <w:tcPr>
            <w:tcW w:w="0" w:type="auto"/>
            <w:hideMark/>
          </w:tcPr>
          <w:p w14:paraId="251B8DD8" w14:textId="68F82CA5" w:rsidR="003A561E" w:rsidRPr="00431C8B"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431C8B">
              <w:rPr>
                <w:rFonts w:asciiTheme="minorHAnsi" w:hAnsiTheme="minorHAnsi"/>
                <w:szCs w:val="22"/>
              </w:rPr>
              <w:t>$149</w:t>
            </w:r>
          </w:p>
        </w:tc>
        <w:tc>
          <w:tcPr>
            <w:tcW w:w="0" w:type="auto"/>
            <w:hideMark/>
          </w:tcPr>
          <w:p w14:paraId="2D1D5AE8" w14:textId="77777777" w:rsidR="003A561E" w:rsidRPr="00743573" w:rsidRDefault="003A561E" w:rsidP="006D088E">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12.0%</w:t>
            </w:r>
          </w:p>
        </w:tc>
      </w:tr>
      <w:tr w:rsidR="00431C8B" w:rsidRPr="00743573" w14:paraId="4733CC67"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474D2998" w14:textId="4698CDB4" w:rsidR="003A561E" w:rsidRDefault="003A561E">
            <w:pPr>
              <w:pStyle w:val="p1"/>
              <w:rPr>
                <w:rFonts w:asciiTheme="minorHAnsi" w:hAnsiTheme="minorHAnsi"/>
                <w:szCs w:val="22"/>
              </w:rPr>
            </w:pPr>
            <w:r>
              <w:rPr>
                <w:rFonts w:asciiTheme="minorHAnsi" w:hAnsiTheme="minorHAnsi"/>
                <w:szCs w:val="22"/>
              </w:rPr>
              <w:t>10</w:t>
            </w:r>
          </w:p>
        </w:tc>
        <w:tc>
          <w:tcPr>
            <w:tcW w:w="0" w:type="auto"/>
          </w:tcPr>
          <w:p w14:paraId="76417D83" w14:textId="13D59DA5" w:rsidR="003A561E" w:rsidRPr="009A1CFD"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MCD</w:t>
            </w:r>
            <w:r w:rsidR="00431C8B" w:rsidRPr="00431C8B">
              <w:rPr>
                <w:rFonts w:asciiTheme="minorHAnsi" w:hAnsiTheme="minorHAnsi"/>
                <w:szCs w:val="22"/>
                <w:vertAlign w:val="superscript"/>
              </w:rPr>
              <w:t>3</w:t>
            </w:r>
          </w:p>
        </w:tc>
        <w:tc>
          <w:tcPr>
            <w:tcW w:w="0" w:type="auto"/>
          </w:tcPr>
          <w:p w14:paraId="49790DDD" w14:textId="77777777" w:rsidR="003A561E" w:rsidRDefault="003A561E">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McDonalds</w:t>
            </w:r>
          </w:p>
        </w:tc>
        <w:tc>
          <w:tcPr>
            <w:tcW w:w="0" w:type="auto"/>
          </w:tcPr>
          <w:p w14:paraId="4415BA1E" w14:textId="77777777" w:rsidR="003A561E" w:rsidRDefault="003A561E" w:rsidP="006D088E">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1091DAC8"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tcPr>
          <w:p w14:paraId="4682E1E1"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$300-$375</w:t>
            </w:r>
          </w:p>
        </w:tc>
        <w:tc>
          <w:tcPr>
            <w:tcW w:w="0" w:type="auto"/>
            <w:shd w:val="clear" w:color="auto" w:fill="B3E5A1" w:themeFill="accent6" w:themeFillTint="66"/>
          </w:tcPr>
          <w:p w14:paraId="2620498F" w14:textId="0F73F7CB" w:rsidR="003A561E" w:rsidRPr="00431C8B"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431C8B">
              <w:rPr>
                <w:rFonts w:asciiTheme="minorHAnsi" w:hAnsiTheme="minorHAnsi"/>
                <w:szCs w:val="22"/>
              </w:rPr>
              <w:t>$333</w:t>
            </w:r>
          </w:p>
        </w:tc>
        <w:tc>
          <w:tcPr>
            <w:tcW w:w="0" w:type="auto"/>
          </w:tcPr>
          <w:p w14:paraId="3FB2BE1A" w14:textId="77777777" w:rsidR="003A561E" w:rsidRDefault="003A561E" w:rsidP="006D088E">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9.6%</w:t>
            </w:r>
          </w:p>
        </w:tc>
      </w:tr>
    </w:tbl>
    <w:p w14:paraId="616B27DB" w14:textId="77777777" w:rsidR="006D088E" w:rsidRPr="005C3B4E" w:rsidRDefault="006D088E" w:rsidP="006D088E">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6107222F" w14:textId="529EF3CD" w:rsidR="009A1CFD" w:rsidRDefault="009A1CFD" w:rsidP="009A1CFD">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56409232" w14:textId="1B1D299A" w:rsidR="00431C8B" w:rsidRDefault="00431C8B" w:rsidP="009A1CFD">
      <w:pPr>
        <w:pStyle w:val="p1"/>
        <w:rPr>
          <w:sz w:val="20"/>
          <w:szCs w:val="20"/>
        </w:rPr>
      </w:pPr>
      <w:r w:rsidRPr="00431C8B">
        <w:rPr>
          <w:sz w:val="20"/>
          <w:szCs w:val="20"/>
          <w:vertAlign w:val="superscript"/>
        </w:rPr>
        <w:t>3</w:t>
      </w:r>
      <w:r>
        <w:rPr>
          <w:sz w:val="20"/>
          <w:szCs w:val="20"/>
        </w:rPr>
        <w:t xml:space="preserve"> Price rose too quickly.</w:t>
      </w:r>
    </w:p>
    <w:p w14:paraId="33499E41" w14:textId="6EB5F642" w:rsidR="006105B3" w:rsidRPr="00F96BF2" w:rsidRDefault="006105B3" w:rsidP="00F96BF2">
      <w:pPr>
        <w:pStyle w:val="p1"/>
        <w:rPr>
          <w:b/>
          <w:bCs/>
          <w:kern w:val="36"/>
          <w:sz w:val="28"/>
          <w:szCs w:val="28"/>
        </w:rPr>
      </w:pPr>
      <w:r>
        <w:rPr>
          <w:sz w:val="20"/>
          <w:szCs w:val="20"/>
        </w:rPr>
        <w:t>Notes: Tickers highlighted green were selected.  Thesis 1-year targets highlighted in green were achieved during calendar year 2026.</w:t>
      </w:r>
      <w:r>
        <w:rPr>
          <w:b/>
          <w:bCs/>
          <w:kern w:val="36"/>
          <w:sz w:val="28"/>
          <w:szCs w:val="28"/>
        </w:rPr>
        <w:br w:type="page"/>
      </w:r>
    </w:p>
    <w:p w14:paraId="2A4900E7" w14:textId="77777777" w:rsidR="006105B3" w:rsidRDefault="006105B3" w:rsidP="006105B3">
      <w:pPr>
        <w:pStyle w:val="Heading3"/>
      </w:pPr>
      <w:r>
        <w:lastRenderedPageBreak/>
        <w:t>Consumer Staples (Defensive) Sector Outlook:</w:t>
      </w:r>
    </w:p>
    <w:p w14:paraId="4DB456DD" w14:textId="77777777" w:rsidR="006105B3" w:rsidRPr="0098000A" w:rsidRDefault="006105B3" w:rsidP="006105B3">
      <w:pPr>
        <w:pStyle w:val="p1"/>
      </w:pPr>
      <w:r w:rsidRPr="00B34F39">
        <w:t xml:space="preserve">In 2026, Consumer Staples operates as </w:t>
      </w:r>
      <w:r w:rsidRPr="00B34F39">
        <w:rPr>
          <w:rStyle w:val="s1"/>
          <w:rFonts w:eastAsiaTheme="majorEastAsia"/>
        </w:rPr>
        <w:t>defensive macro infrastructure</w:t>
      </w:r>
      <w:r w:rsidRPr="00B34F39">
        <w:t xml:space="preserve">: demand is steady and cash flows are resilient, but upside is incremental and depends on operational discipline rather than cyclical tailwinds. Disinflation and moderating input costs provide partial margin relief versus early 2025, yet </w:t>
      </w:r>
      <w:r w:rsidRPr="00B34F39">
        <w:rPr>
          <w:rStyle w:val="s1"/>
          <w:rFonts w:eastAsiaTheme="majorEastAsia"/>
        </w:rPr>
        <w:t>elevated sovereign debt and structurally higher interest rates</w:t>
      </w:r>
      <w:r w:rsidRPr="00B34F39">
        <w:t xml:space="preserve"> keep cost control, balance-sheet strength, and working-capital management paramount. The consumer backdrop remains </w:t>
      </w:r>
      <w:r w:rsidRPr="00B34F39">
        <w:rPr>
          <w:rStyle w:val="s1"/>
          <w:rFonts w:eastAsiaTheme="majorEastAsia"/>
        </w:rPr>
        <w:t>K-shaped</w:t>
      </w:r>
      <w:r w:rsidRPr="00B34F39">
        <w:t xml:space="preserve">: higher-income households sustain “affordable premium” necessities (pet, personal care, functional/wellness beverages and nutrition), while middle- and lower-income consumers stay </w:t>
      </w:r>
      <w:r w:rsidRPr="00B34F39">
        <w:rPr>
          <w:rStyle w:val="s1"/>
          <w:rFonts w:eastAsiaTheme="majorEastAsia"/>
        </w:rPr>
        <w:t>value sensitive</w:t>
      </w:r>
      <w:r w:rsidRPr="00B34F39">
        <w:t xml:space="preserve">, sustaining private-label pressure and limiting broad pricing power. As a result, the sector’s earnings growth is driven less by price hikes and more by execution—rapid deployment of </w:t>
      </w:r>
      <w:r w:rsidRPr="00B34F39">
        <w:rPr>
          <w:rStyle w:val="s1"/>
          <w:rFonts w:eastAsiaTheme="majorEastAsia"/>
        </w:rPr>
        <w:t>AI-enabled “Supply Chain 3.0”</w:t>
      </w:r>
      <w:r w:rsidRPr="00B34F39">
        <w:t xml:space="preserve"> capabilities (forecasting, inventory optimization, promotion efficiency, logistics automation, SKU rationalization, precision pricing, and portfolio mix management). Meanwhile, climate volatility and geopolitics remain recurring friction points—affecting agricultural yields, commodity inputs, and transportation reliability—while regulatory scrutiny increases around labeling, additives, health claims, and data/AI-enabled marketing. This environment amplifies scale advantages: large operators with climate-resilient sourcing, strong logistics and cyber posture, and disciplined portfolio management outperform, while commodity-exposed, low-margin center-aisle products and smaller players face tougher margin battles. Net: Staples should deliver </w:t>
      </w:r>
      <w:r w:rsidRPr="00B34F39">
        <w:rPr>
          <w:rStyle w:val="s1"/>
          <w:rFonts w:eastAsiaTheme="majorEastAsia"/>
        </w:rPr>
        <w:t>stable, low-beta performance with reliable dividends and downside protection</w:t>
      </w:r>
      <w:r w:rsidRPr="00B34F39">
        <w:t>, with relative outperformance most likely when macro volatility rises—but absolute returns are capped unless a firm has clear efficiency capture and premium mix tailwinds.</w:t>
      </w:r>
    </w:p>
    <w:p w14:paraId="1A7537ED" w14:textId="77777777" w:rsidR="006105B3" w:rsidRDefault="006105B3" w:rsidP="006105B3">
      <w:pPr>
        <w:spacing w:after="160" w:line="278" w:lineRule="auto"/>
        <w:rPr>
          <w:b/>
          <w:bCs/>
        </w:rPr>
      </w:pPr>
      <w:r>
        <w:rPr>
          <w:b/>
          <w:bCs/>
        </w:rPr>
        <w:br w:type="page"/>
      </w:r>
    </w:p>
    <w:p w14:paraId="1DEF3832" w14:textId="01DD1127" w:rsidR="006105B3" w:rsidRPr="00E5349B" w:rsidRDefault="006105B3" w:rsidP="006105B3">
      <w:pPr>
        <w:pStyle w:val="p3"/>
      </w:pPr>
      <w:r>
        <w:rPr>
          <w:b/>
          <w:bCs/>
        </w:rPr>
        <w:lastRenderedPageBreak/>
        <w:t xml:space="preserve">Top Consumer Staples </w:t>
      </w:r>
      <w:r w:rsidR="00943820">
        <w:rPr>
          <w:b/>
          <w:bCs/>
        </w:rPr>
        <w:t xml:space="preserve">(Defensive) </w:t>
      </w:r>
      <w:r>
        <w:rPr>
          <w:b/>
          <w:bCs/>
        </w:rPr>
        <w:t>companies positioned for 2026:</w:t>
      </w:r>
    </w:p>
    <w:tbl>
      <w:tblPr>
        <w:tblStyle w:val="ListTable4-Accent4"/>
        <w:tblW w:w="0" w:type="auto"/>
        <w:tblLook w:val="04A0" w:firstRow="1" w:lastRow="0" w:firstColumn="1" w:lastColumn="0" w:noHBand="0" w:noVBand="1"/>
      </w:tblPr>
      <w:tblGrid>
        <w:gridCol w:w="743"/>
        <w:gridCol w:w="769"/>
        <w:gridCol w:w="1959"/>
        <w:gridCol w:w="1200"/>
        <w:gridCol w:w="1546"/>
        <w:gridCol w:w="1366"/>
        <w:gridCol w:w="1224"/>
        <w:gridCol w:w="903"/>
      </w:tblGrid>
      <w:tr w:rsidR="006105B3" w:rsidRPr="00343448" w14:paraId="28E7361C"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4B995F" w14:textId="77777777" w:rsidR="006105B3" w:rsidRPr="00343448" w:rsidRDefault="006105B3" w:rsidP="0066444C">
            <w:pPr>
              <w:pStyle w:val="p1"/>
              <w:jc w:val="center"/>
              <w:rPr>
                <w:rFonts w:asciiTheme="minorHAnsi" w:hAnsiTheme="minorHAnsi"/>
                <w:sz w:val="21"/>
                <w:szCs w:val="21"/>
              </w:rPr>
            </w:pPr>
            <w:r w:rsidRPr="00343448">
              <w:rPr>
                <w:rFonts w:asciiTheme="minorHAnsi" w:hAnsiTheme="minorHAnsi"/>
                <w:b w:val="0"/>
                <w:bCs w:val="0"/>
                <w:sz w:val="21"/>
                <w:szCs w:val="21"/>
              </w:rPr>
              <w:t>Rank</w:t>
            </w:r>
            <w:r w:rsidRPr="00EE7037">
              <w:rPr>
                <w:rFonts w:asciiTheme="minorHAnsi" w:hAnsiTheme="minorHAnsi"/>
                <w:b w:val="0"/>
                <w:bCs w:val="0"/>
                <w:sz w:val="21"/>
                <w:szCs w:val="21"/>
                <w:vertAlign w:val="superscript"/>
              </w:rPr>
              <w:t>1</w:t>
            </w:r>
          </w:p>
        </w:tc>
        <w:tc>
          <w:tcPr>
            <w:tcW w:w="0" w:type="auto"/>
            <w:hideMark/>
          </w:tcPr>
          <w:p w14:paraId="5847CF17"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343448">
              <w:rPr>
                <w:rFonts w:asciiTheme="minorHAnsi" w:hAnsiTheme="minorHAnsi"/>
                <w:b w:val="0"/>
                <w:bCs w:val="0"/>
                <w:sz w:val="21"/>
                <w:szCs w:val="21"/>
              </w:rPr>
              <w:t>Ticker</w:t>
            </w:r>
          </w:p>
        </w:tc>
        <w:tc>
          <w:tcPr>
            <w:tcW w:w="0" w:type="auto"/>
            <w:hideMark/>
          </w:tcPr>
          <w:p w14:paraId="55E08FAD"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343448">
              <w:rPr>
                <w:rFonts w:asciiTheme="minorHAnsi" w:hAnsiTheme="minorHAnsi"/>
                <w:b w:val="0"/>
                <w:bCs w:val="0"/>
                <w:sz w:val="21"/>
                <w:szCs w:val="21"/>
              </w:rPr>
              <w:t>Company</w:t>
            </w:r>
          </w:p>
        </w:tc>
        <w:tc>
          <w:tcPr>
            <w:tcW w:w="1200" w:type="dxa"/>
            <w:hideMark/>
          </w:tcPr>
          <w:p w14:paraId="22F4D663"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743573">
              <w:rPr>
                <w:rFonts w:asciiTheme="minorHAnsi" w:hAnsiTheme="minorHAnsi"/>
                <w:b w:val="0"/>
                <w:bCs w:val="0"/>
                <w:szCs w:val="22"/>
              </w:rPr>
              <w:t xml:space="preserve">Top 5 Total </w:t>
            </w:r>
            <w:proofErr w:type="spellStart"/>
            <w:r w:rsidRPr="00743573">
              <w:rPr>
                <w:rFonts w:asciiTheme="minorHAnsi" w:hAnsiTheme="minorHAnsi"/>
                <w:b w:val="0"/>
                <w:bCs w:val="0"/>
                <w:szCs w:val="22"/>
              </w:rPr>
              <w:t>Rtn</w:t>
            </w:r>
            <w:proofErr w:type="spellEnd"/>
          </w:p>
        </w:tc>
        <w:tc>
          <w:tcPr>
            <w:tcW w:w="1546" w:type="dxa"/>
            <w:hideMark/>
          </w:tcPr>
          <w:p w14:paraId="25D15514"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1366" w:type="dxa"/>
            <w:hideMark/>
          </w:tcPr>
          <w:p w14:paraId="6AB9B42F"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0"/>
                <w:szCs w:val="20"/>
              </w:rPr>
              <w:t xml:space="preserve">Analyst 1-yr </w:t>
            </w:r>
            <w:r>
              <w:rPr>
                <w:rFonts w:asciiTheme="minorHAnsi" w:hAnsiTheme="minorHAnsi"/>
                <w:b w:val="0"/>
                <w:bCs w:val="0"/>
                <w:sz w:val="20"/>
                <w:szCs w:val="20"/>
              </w:rPr>
              <w:t>T</w:t>
            </w:r>
            <w:r w:rsidRPr="00B35BE4">
              <w:rPr>
                <w:rFonts w:asciiTheme="minorHAnsi" w:hAnsiTheme="minorHAnsi"/>
                <w:b w:val="0"/>
                <w:bCs w:val="0"/>
                <w:sz w:val="20"/>
                <w:szCs w:val="20"/>
              </w:rPr>
              <w:t>arget</w:t>
            </w:r>
          </w:p>
        </w:tc>
        <w:tc>
          <w:tcPr>
            <w:tcW w:w="1224" w:type="dxa"/>
            <w:hideMark/>
          </w:tcPr>
          <w:p w14:paraId="714259B2"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 xml:space="preserve">1-yr </w:t>
            </w:r>
            <w:proofErr w:type="spellStart"/>
            <w:r>
              <w:rPr>
                <w:rFonts w:asciiTheme="minorHAnsi" w:hAnsiTheme="minorHAnsi"/>
                <w:b w:val="0"/>
                <w:bCs w:val="0"/>
                <w:sz w:val="20"/>
                <w:szCs w:val="20"/>
              </w:rPr>
              <w:t>T</w:t>
            </w:r>
            <w:r w:rsidRPr="00B35BE4">
              <w:rPr>
                <w:rFonts w:asciiTheme="minorHAnsi" w:hAnsiTheme="minorHAnsi"/>
                <w:b w:val="0"/>
                <w:bCs w:val="0"/>
                <w:sz w:val="20"/>
                <w:szCs w:val="20"/>
              </w:rPr>
              <w:t>gt</w:t>
            </w:r>
            <w:proofErr w:type="spellEnd"/>
          </w:p>
        </w:tc>
        <w:tc>
          <w:tcPr>
            <w:tcW w:w="0" w:type="auto"/>
            <w:hideMark/>
          </w:tcPr>
          <w:p w14:paraId="1977EDB7" w14:textId="77777777" w:rsidR="006105B3" w:rsidRPr="00343448" w:rsidRDefault="006105B3"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1-Yr</w:t>
            </w:r>
            <w:r w:rsidRPr="00B35BE4">
              <w:rPr>
                <w:rFonts w:asciiTheme="minorHAnsi" w:hAnsiTheme="minorHAnsi"/>
                <w:b w:val="0"/>
                <w:bCs w:val="0"/>
                <w:sz w:val="20"/>
                <w:szCs w:val="20"/>
              </w:rPr>
              <w:t xml:space="preserve"> </w:t>
            </w:r>
            <w:proofErr w:type="spellStart"/>
            <w:r w:rsidRPr="00B35BE4">
              <w:rPr>
                <w:rFonts w:asciiTheme="minorHAnsi" w:hAnsiTheme="minorHAnsi"/>
                <w:b w:val="0"/>
                <w:bCs w:val="0"/>
                <w:sz w:val="20"/>
                <w:szCs w:val="20"/>
              </w:rPr>
              <w:t>Rtn</w:t>
            </w:r>
            <w:proofErr w:type="spellEnd"/>
            <w:r>
              <w:rPr>
                <w:rFonts w:asciiTheme="minorHAnsi" w:hAnsiTheme="minorHAnsi"/>
                <w:b w:val="0"/>
                <w:bCs w:val="0"/>
                <w:sz w:val="20"/>
                <w:szCs w:val="20"/>
              </w:rPr>
              <w:br/>
              <w:t>(Thesis)</w:t>
            </w:r>
          </w:p>
        </w:tc>
      </w:tr>
      <w:tr w:rsidR="006105B3" w:rsidRPr="00343448" w14:paraId="557D423D"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913A597" w14:textId="77777777" w:rsidR="006105B3" w:rsidRPr="00343448" w:rsidRDefault="006105B3" w:rsidP="0066444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hideMark/>
          </w:tcPr>
          <w:p w14:paraId="11C46E65" w14:textId="77777777" w:rsidR="006105B3" w:rsidRPr="009A1CFD"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COST</w:t>
            </w:r>
          </w:p>
        </w:tc>
        <w:tc>
          <w:tcPr>
            <w:tcW w:w="0" w:type="auto"/>
            <w:hideMark/>
          </w:tcPr>
          <w:p w14:paraId="37CBD8AE" w14:textId="77777777" w:rsidR="006105B3" w:rsidRPr="00343448"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43448">
              <w:rPr>
                <w:rFonts w:asciiTheme="minorHAnsi" w:hAnsiTheme="minorHAnsi"/>
                <w:szCs w:val="22"/>
              </w:rPr>
              <w:t>Costco Wholesale</w:t>
            </w:r>
          </w:p>
        </w:tc>
        <w:tc>
          <w:tcPr>
            <w:tcW w:w="1200" w:type="dxa"/>
            <w:hideMark/>
          </w:tcPr>
          <w:p w14:paraId="224469B3" w14:textId="77777777" w:rsidR="006105B3" w:rsidRPr="00343448" w:rsidRDefault="006105B3"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546" w:type="dxa"/>
            <w:hideMark/>
          </w:tcPr>
          <w:p w14:paraId="3597AD61"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0.95</w:t>
            </w:r>
          </w:p>
        </w:tc>
        <w:tc>
          <w:tcPr>
            <w:tcW w:w="1366" w:type="dxa"/>
            <w:hideMark/>
          </w:tcPr>
          <w:p w14:paraId="16E3224E"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$769-$1205</w:t>
            </w:r>
          </w:p>
        </w:tc>
        <w:tc>
          <w:tcPr>
            <w:tcW w:w="1224" w:type="dxa"/>
            <w:hideMark/>
          </w:tcPr>
          <w:p w14:paraId="22A7C96D"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$1050</w:t>
            </w:r>
          </w:p>
        </w:tc>
        <w:tc>
          <w:tcPr>
            <w:tcW w:w="0" w:type="auto"/>
            <w:hideMark/>
          </w:tcPr>
          <w:p w14:paraId="19E73231"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22.9%</w:t>
            </w:r>
          </w:p>
        </w:tc>
      </w:tr>
      <w:tr w:rsidR="006105B3" w:rsidRPr="00343448" w14:paraId="0DB9AE98"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41630017" w14:textId="77777777" w:rsidR="006105B3" w:rsidRPr="00343448" w:rsidRDefault="006105B3" w:rsidP="0066444C">
            <w:pPr>
              <w:pStyle w:val="p1"/>
              <w:rPr>
                <w:rFonts w:asciiTheme="minorHAnsi" w:hAnsiTheme="minorHAnsi"/>
                <w:b w:val="0"/>
                <w:bCs w:val="0"/>
                <w:szCs w:val="22"/>
              </w:rPr>
            </w:pPr>
            <w:r>
              <w:rPr>
                <w:rFonts w:asciiTheme="minorHAnsi" w:hAnsiTheme="minorHAnsi"/>
                <w:szCs w:val="22"/>
              </w:rPr>
              <w:t>2</w:t>
            </w:r>
          </w:p>
        </w:tc>
        <w:tc>
          <w:tcPr>
            <w:tcW w:w="0" w:type="auto"/>
            <w:shd w:val="clear" w:color="auto" w:fill="B3E5A1" w:themeFill="accent6" w:themeFillTint="66"/>
            <w:hideMark/>
          </w:tcPr>
          <w:p w14:paraId="0E075BB5" w14:textId="77777777" w:rsidR="006105B3" w:rsidRPr="009A1CFD"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PG</w:t>
            </w:r>
            <w:r w:rsidRPr="00B00B77">
              <w:rPr>
                <w:rFonts w:asciiTheme="minorHAnsi" w:hAnsiTheme="minorHAnsi"/>
                <w:szCs w:val="22"/>
                <w:vertAlign w:val="superscript"/>
              </w:rPr>
              <w:t>3</w:t>
            </w:r>
          </w:p>
        </w:tc>
        <w:tc>
          <w:tcPr>
            <w:tcW w:w="0" w:type="auto"/>
            <w:hideMark/>
          </w:tcPr>
          <w:p w14:paraId="4B55F111" w14:textId="77777777" w:rsidR="006105B3" w:rsidRPr="00343448"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43448">
              <w:rPr>
                <w:rFonts w:asciiTheme="minorHAnsi" w:hAnsiTheme="minorHAnsi"/>
                <w:szCs w:val="22"/>
              </w:rPr>
              <w:t>Procter &amp; Gamble</w:t>
            </w:r>
          </w:p>
        </w:tc>
        <w:tc>
          <w:tcPr>
            <w:tcW w:w="1200" w:type="dxa"/>
            <w:hideMark/>
          </w:tcPr>
          <w:p w14:paraId="3B0DE980" w14:textId="77777777" w:rsidR="006105B3" w:rsidRPr="00343448" w:rsidRDefault="006105B3"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43448">
              <w:rPr>
                <w:rFonts w:asciiTheme="minorHAnsi" w:hAnsiTheme="minorHAnsi"/>
                <w:szCs w:val="22"/>
              </w:rPr>
              <w:t>Y</w:t>
            </w:r>
          </w:p>
        </w:tc>
        <w:tc>
          <w:tcPr>
            <w:tcW w:w="1546" w:type="dxa"/>
            <w:hideMark/>
          </w:tcPr>
          <w:p w14:paraId="1FC3A28D"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1366" w:type="dxa"/>
            <w:hideMark/>
          </w:tcPr>
          <w:p w14:paraId="2F3FC6E7"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$151-$180</w:t>
            </w:r>
          </w:p>
        </w:tc>
        <w:tc>
          <w:tcPr>
            <w:tcW w:w="1224" w:type="dxa"/>
            <w:hideMark/>
          </w:tcPr>
          <w:p w14:paraId="3CBE50ED"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$172</w:t>
            </w:r>
          </w:p>
        </w:tc>
        <w:tc>
          <w:tcPr>
            <w:tcW w:w="0" w:type="auto"/>
            <w:hideMark/>
          </w:tcPr>
          <w:p w14:paraId="6C337919"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21.3%</w:t>
            </w:r>
          </w:p>
        </w:tc>
      </w:tr>
      <w:tr w:rsidR="006105B3" w:rsidRPr="00343448" w14:paraId="4ED8C5DB"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76BB019" w14:textId="77777777" w:rsidR="006105B3" w:rsidRPr="00343448" w:rsidRDefault="006105B3" w:rsidP="0066444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694F6F5E" w14:textId="77777777" w:rsidR="006105B3" w:rsidRPr="009A1CFD"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MDLZ</w:t>
            </w:r>
          </w:p>
        </w:tc>
        <w:tc>
          <w:tcPr>
            <w:tcW w:w="0" w:type="auto"/>
          </w:tcPr>
          <w:p w14:paraId="27706382" w14:textId="77777777" w:rsidR="006105B3" w:rsidRPr="00343448"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Mondelez Int.</w:t>
            </w:r>
          </w:p>
        </w:tc>
        <w:tc>
          <w:tcPr>
            <w:tcW w:w="1200" w:type="dxa"/>
          </w:tcPr>
          <w:p w14:paraId="1DA63D75" w14:textId="77777777" w:rsidR="006105B3" w:rsidRPr="00343448" w:rsidRDefault="006105B3"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546" w:type="dxa"/>
          </w:tcPr>
          <w:p w14:paraId="0D907312"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0.82</w:t>
            </w:r>
          </w:p>
        </w:tc>
        <w:tc>
          <w:tcPr>
            <w:tcW w:w="1366" w:type="dxa"/>
          </w:tcPr>
          <w:p w14:paraId="799B2A8A"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$62-$84</w:t>
            </w:r>
          </w:p>
        </w:tc>
        <w:tc>
          <w:tcPr>
            <w:tcW w:w="1224" w:type="dxa"/>
          </w:tcPr>
          <w:p w14:paraId="50BBE864" w14:textId="77777777" w:rsidR="006105B3" w:rsidRPr="00573D20"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73D20">
              <w:rPr>
                <w:rFonts w:asciiTheme="minorHAnsi" w:hAnsiTheme="minorHAnsi"/>
                <w:szCs w:val="22"/>
              </w:rPr>
              <w:t xml:space="preserve"> $71</w:t>
            </w:r>
          </w:p>
        </w:tc>
        <w:tc>
          <w:tcPr>
            <w:tcW w:w="0" w:type="auto"/>
          </w:tcPr>
          <w:p w14:paraId="53CF32B2"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32.3%</w:t>
            </w:r>
          </w:p>
        </w:tc>
      </w:tr>
      <w:tr w:rsidR="006105B3" w:rsidRPr="00343448" w14:paraId="75030F5B"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6D2B51AD" w14:textId="77777777" w:rsidR="006105B3" w:rsidRDefault="006105B3" w:rsidP="0066444C">
            <w:pPr>
              <w:pStyle w:val="p1"/>
              <w:rPr>
                <w:rFonts w:asciiTheme="minorHAnsi" w:hAnsiTheme="minorHAnsi"/>
                <w:szCs w:val="22"/>
              </w:rPr>
            </w:pPr>
            <w:r>
              <w:rPr>
                <w:rFonts w:asciiTheme="minorHAnsi" w:hAnsiTheme="minorHAnsi"/>
                <w:szCs w:val="22"/>
              </w:rPr>
              <w:t>4</w:t>
            </w:r>
          </w:p>
        </w:tc>
        <w:tc>
          <w:tcPr>
            <w:tcW w:w="0" w:type="auto"/>
          </w:tcPr>
          <w:p w14:paraId="31E94200" w14:textId="77777777" w:rsidR="006105B3" w:rsidRPr="009A1CFD"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CHD</w:t>
            </w:r>
            <w:r w:rsidRPr="00573D20">
              <w:rPr>
                <w:rFonts w:asciiTheme="minorHAnsi" w:hAnsiTheme="minorHAnsi"/>
                <w:szCs w:val="22"/>
                <w:vertAlign w:val="superscript"/>
              </w:rPr>
              <w:t>4</w:t>
            </w:r>
          </w:p>
        </w:tc>
        <w:tc>
          <w:tcPr>
            <w:tcW w:w="0" w:type="auto"/>
          </w:tcPr>
          <w:p w14:paraId="5C95BFE8" w14:textId="77777777" w:rsidR="006105B3"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Church &amp; Dwight</w:t>
            </w:r>
          </w:p>
        </w:tc>
        <w:tc>
          <w:tcPr>
            <w:tcW w:w="1200" w:type="dxa"/>
          </w:tcPr>
          <w:p w14:paraId="77F0132D" w14:textId="77777777" w:rsidR="006105B3" w:rsidRDefault="006105B3"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546" w:type="dxa"/>
          </w:tcPr>
          <w:p w14:paraId="501C94C4"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0.80</w:t>
            </w:r>
          </w:p>
        </w:tc>
        <w:tc>
          <w:tcPr>
            <w:tcW w:w="1366" w:type="dxa"/>
          </w:tcPr>
          <w:p w14:paraId="738400F0"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$82-$114</w:t>
            </w:r>
          </w:p>
        </w:tc>
        <w:tc>
          <w:tcPr>
            <w:tcW w:w="1224" w:type="dxa"/>
            <w:shd w:val="clear" w:color="auto" w:fill="B3E5A1" w:themeFill="accent6" w:themeFillTint="66"/>
          </w:tcPr>
          <w:p w14:paraId="2A24D9F2" w14:textId="77777777" w:rsidR="006105B3" w:rsidRPr="00573D20"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73D20">
              <w:rPr>
                <w:rFonts w:asciiTheme="minorHAnsi" w:hAnsiTheme="minorHAnsi"/>
                <w:szCs w:val="22"/>
              </w:rPr>
              <w:t>$99</w:t>
            </w:r>
          </w:p>
        </w:tc>
        <w:tc>
          <w:tcPr>
            <w:tcW w:w="0" w:type="auto"/>
          </w:tcPr>
          <w:p w14:paraId="62C9DBD3"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19.5%</w:t>
            </w:r>
          </w:p>
        </w:tc>
      </w:tr>
      <w:tr w:rsidR="006105B3" w:rsidRPr="00343448" w14:paraId="22CD2F69"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7110DF" w14:textId="77777777" w:rsidR="006105B3" w:rsidRDefault="006105B3" w:rsidP="0066444C">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tcPr>
          <w:p w14:paraId="39A0E366" w14:textId="77777777" w:rsidR="006105B3" w:rsidRPr="009A1CFD"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K</w:t>
            </w:r>
            <w:r w:rsidRPr="00B752BF">
              <w:rPr>
                <w:rFonts w:asciiTheme="minorHAnsi" w:hAnsiTheme="minorHAnsi"/>
                <w:szCs w:val="22"/>
                <w:shd w:val="clear" w:color="auto" w:fill="B3E5A1" w:themeFill="accent6" w:themeFillTint="66"/>
              </w:rPr>
              <w:t>MB</w:t>
            </w:r>
          </w:p>
        </w:tc>
        <w:tc>
          <w:tcPr>
            <w:tcW w:w="0" w:type="auto"/>
          </w:tcPr>
          <w:p w14:paraId="6C409638" w14:textId="77777777" w:rsidR="006105B3"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Kimberly Clark</w:t>
            </w:r>
          </w:p>
        </w:tc>
        <w:tc>
          <w:tcPr>
            <w:tcW w:w="1200" w:type="dxa"/>
          </w:tcPr>
          <w:p w14:paraId="04CFDE34" w14:textId="77777777" w:rsidR="006105B3" w:rsidRDefault="006105B3"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546" w:type="dxa"/>
          </w:tcPr>
          <w:p w14:paraId="358C2E1C" w14:textId="77777777" w:rsidR="006105B3"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0.75</w:t>
            </w:r>
          </w:p>
        </w:tc>
        <w:tc>
          <w:tcPr>
            <w:tcW w:w="1366" w:type="dxa"/>
          </w:tcPr>
          <w:p w14:paraId="5DD1AB02" w14:textId="77777777" w:rsidR="006105B3"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$95-$162</w:t>
            </w:r>
          </w:p>
        </w:tc>
        <w:tc>
          <w:tcPr>
            <w:tcW w:w="1224" w:type="dxa"/>
          </w:tcPr>
          <w:p w14:paraId="4F9A4677" w14:textId="77777777" w:rsidR="006105B3" w:rsidRPr="00573D20"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73D20">
              <w:rPr>
                <w:rFonts w:asciiTheme="minorHAnsi" w:hAnsiTheme="minorHAnsi"/>
                <w:szCs w:val="22"/>
              </w:rPr>
              <w:t>$129</w:t>
            </w:r>
          </w:p>
        </w:tc>
        <w:tc>
          <w:tcPr>
            <w:tcW w:w="0" w:type="auto"/>
          </w:tcPr>
          <w:p w14:paraId="6C8E1BCB" w14:textId="77777777" w:rsidR="006105B3"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27.5%</w:t>
            </w:r>
          </w:p>
        </w:tc>
      </w:tr>
      <w:tr w:rsidR="006105B3" w:rsidRPr="00343448" w14:paraId="672949E9" w14:textId="77777777" w:rsidTr="00B752BF">
        <w:tc>
          <w:tcPr>
            <w:cnfStyle w:val="001000000000" w:firstRow="0" w:lastRow="0" w:firstColumn="1" w:lastColumn="0" w:oddVBand="0" w:evenVBand="0" w:oddHBand="0" w:evenHBand="0" w:firstRowFirstColumn="0" w:firstRowLastColumn="0" w:lastRowFirstColumn="0" w:lastRowLastColumn="0"/>
            <w:tcW w:w="0" w:type="auto"/>
            <w:hideMark/>
          </w:tcPr>
          <w:p w14:paraId="34A0A1F1" w14:textId="77777777" w:rsidR="006105B3" w:rsidRPr="00343448" w:rsidRDefault="006105B3" w:rsidP="0066444C">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hideMark/>
          </w:tcPr>
          <w:p w14:paraId="11716961" w14:textId="77777777" w:rsidR="006105B3" w:rsidRPr="009A1CFD"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WMT</w:t>
            </w:r>
          </w:p>
        </w:tc>
        <w:tc>
          <w:tcPr>
            <w:tcW w:w="0" w:type="auto"/>
            <w:hideMark/>
          </w:tcPr>
          <w:p w14:paraId="46E46503" w14:textId="77777777" w:rsidR="006105B3" w:rsidRPr="00343448"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43448">
              <w:rPr>
                <w:rFonts w:asciiTheme="minorHAnsi" w:hAnsiTheme="minorHAnsi"/>
                <w:szCs w:val="22"/>
              </w:rPr>
              <w:t>Walmart</w:t>
            </w:r>
          </w:p>
        </w:tc>
        <w:tc>
          <w:tcPr>
            <w:tcW w:w="1200" w:type="dxa"/>
            <w:hideMark/>
          </w:tcPr>
          <w:p w14:paraId="4303F576" w14:textId="77777777" w:rsidR="006105B3" w:rsidRPr="00343448" w:rsidRDefault="006105B3"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546" w:type="dxa"/>
            <w:hideMark/>
          </w:tcPr>
          <w:p w14:paraId="09EC93C0"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1366" w:type="dxa"/>
            <w:hideMark/>
          </w:tcPr>
          <w:p w14:paraId="53ECE518"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$108-$136</w:t>
            </w:r>
          </w:p>
        </w:tc>
        <w:tc>
          <w:tcPr>
            <w:tcW w:w="1224" w:type="dxa"/>
            <w:shd w:val="clear" w:color="auto" w:fill="B3E5A1" w:themeFill="accent6" w:themeFillTint="66"/>
            <w:hideMark/>
          </w:tcPr>
          <w:p w14:paraId="421DBA56" w14:textId="77777777" w:rsidR="006105B3" w:rsidRPr="00573D20"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73D20">
              <w:rPr>
                <w:rFonts w:asciiTheme="minorHAnsi" w:hAnsiTheme="minorHAnsi"/>
                <w:szCs w:val="22"/>
              </w:rPr>
              <w:t>$125</w:t>
            </w:r>
          </w:p>
        </w:tc>
        <w:tc>
          <w:tcPr>
            <w:tcW w:w="0" w:type="auto"/>
            <w:hideMark/>
          </w:tcPr>
          <w:p w14:paraId="09824F4F"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10.9%</w:t>
            </w:r>
          </w:p>
        </w:tc>
      </w:tr>
      <w:tr w:rsidR="006105B3" w:rsidRPr="00343448" w14:paraId="6138B477"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056309" w14:textId="77777777" w:rsidR="006105B3" w:rsidRPr="00343448" w:rsidRDefault="006105B3" w:rsidP="0066444C">
            <w:pPr>
              <w:pStyle w:val="p1"/>
              <w:rPr>
                <w:rFonts w:asciiTheme="minorHAnsi" w:hAnsiTheme="minorHAnsi"/>
                <w:szCs w:val="22"/>
              </w:rPr>
            </w:pPr>
            <w:r>
              <w:rPr>
                <w:rFonts w:asciiTheme="minorHAnsi" w:hAnsiTheme="minorHAnsi"/>
                <w:szCs w:val="22"/>
              </w:rPr>
              <w:t>7</w:t>
            </w:r>
          </w:p>
        </w:tc>
        <w:tc>
          <w:tcPr>
            <w:tcW w:w="0" w:type="auto"/>
            <w:shd w:val="clear" w:color="auto" w:fill="auto"/>
            <w:hideMark/>
          </w:tcPr>
          <w:p w14:paraId="07B51F9F" w14:textId="77777777" w:rsidR="006105B3" w:rsidRPr="009A1CFD"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PEP</w:t>
            </w:r>
            <w:r w:rsidRPr="00B00B77">
              <w:rPr>
                <w:rFonts w:asciiTheme="minorHAnsi" w:hAnsiTheme="minorHAnsi"/>
                <w:szCs w:val="22"/>
                <w:vertAlign w:val="superscript"/>
              </w:rPr>
              <w:t>3</w:t>
            </w:r>
            <w:r>
              <w:rPr>
                <w:rFonts w:asciiTheme="minorHAnsi" w:hAnsiTheme="minorHAnsi"/>
                <w:szCs w:val="22"/>
                <w:vertAlign w:val="superscript"/>
              </w:rPr>
              <w:t>,4</w:t>
            </w:r>
          </w:p>
        </w:tc>
        <w:tc>
          <w:tcPr>
            <w:tcW w:w="0" w:type="auto"/>
            <w:hideMark/>
          </w:tcPr>
          <w:p w14:paraId="4A8AD7F3" w14:textId="77777777" w:rsidR="006105B3" w:rsidRPr="00343448"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43448">
              <w:rPr>
                <w:rFonts w:asciiTheme="minorHAnsi" w:hAnsiTheme="minorHAnsi"/>
                <w:szCs w:val="22"/>
              </w:rPr>
              <w:t>PepsiCo</w:t>
            </w:r>
          </w:p>
        </w:tc>
        <w:tc>
          <w:tcPr>
            <w:tcW w:w="1200" w:type="dxa"/>
            <w:hideMark/>
          </w:tcPr>
          <w:p w14:paraId="4B8B602A" w14:textId="77777777" w:rsidR="006105B3" w:rsidRPr="00343448" w:rsidRDefault="006105B3"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546" w:type="dxa"/>
            <w:hideMark/>
          </w:tcPr>
          <w:p w14:paraId="3CF511C3"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1366" w:type="dxa"/>
            <w:hideMark/>
          </w:tcPr>
          <w:p w14:paraId="20B72BE6"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$144-$172</w:t>
            </w:r>
          </w:p>
        </w:tc>
        <w:tc>
          <w:tcPr>
            <w:tcW w:w="1224" w:type="dxa"/>
            <w:shd w:val="clear" w:color="auto" w:fill="B3E5A1" w:themeFill="accent6" w:themeFillTint="66"/>
            <w:hideMark/>
          </w:tcPr>
          <w:p w14:paraId="2E1BEA07" w14:textId="77777777" w:rsidR="006105B3" w:rsidRPr="00573D20"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73D20">
              <w:rPr>
                <w:rFonts w:asciiTheme="minorHAnsi" w:hAnsiTheme="minorHAnsi"/>
                <w:szCs w:val="22"/>
              </w:rPr>
              <w:t>$159</w:t>
            </w:r>
          </w:p>
        </w:tc>
        <w:tc>
          <w:tcPr>
            <w:tcW w:w="0" w:type="auto"/>
            <w:hideMark/>
          </w:tcPr>
          <w:p w14:paraId="7FEDCF5A"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11.8%</w:t>
            </w:r>
          </w:p>
        </w:tc>
      </w:tr>
      <w:tr w:rsidR="006105B3" w:rsidRPr="00343448" w14:paraId="0BFE80FC"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57703456" w14:textId="77777777" w:rsidR="006105B3" w:rsidRPr="00343448" w:rsidRDefault="006105B3" w:rsidP="0066444C">
            <w:pPr>
              <w:pStyle w:val="p1"/>
              <w:rPr>
                <w:rFonts w:asciiTheme="minorHAnsi" w:hAnsiTheme="minorHAnsi"/>
                <w:szCs w:val="22"/>
              </w:rPr>
            </w:pPr>
            <w:r>
              <w:rPr>
                <w:rFonts w:asciiTheme="minorHAnsi" w:hAnsiTheme="minorHAnsi"/>
                <w:szCs w:val="22"/>
              </w:rPr>
              <w:t>8</w:t>
            </w:r>
          </w:p>
        </w:tc>
        <w:tc>
          <w:tcPr>
            <w:tcW w:w="0" w:type="auto"/>
            <w:shd w:val="clear" w:color="auto" w:fill="B3E5A1" w:themeFill="accent6" w:themeFillTint="66"/>
          </w:tcPr>
          <w:p w14:paraId="0694B1CB" w14:textId="77777777" w:rsidR="006105B3" w:rsidRPr="009A1CFD"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PM</w:t>
            </w:r>
            <w:r w:rsidRPr="00B00B77">
              <w:rPr>
                <w:rFonts w:asciiTheme="minorHAnsi" w:hAnsiTheme="minorHAnsi"/>
                <w:szCs w:val="22"/>
                <w:vertAlign w:val="superscript"/>
              </w:rPr>
              <w:t>3</w:t>
            </w:r>
          </w:p>
        </w:tc>
        <w:tc>
          <w:tcPr>
            <w:tcW w:w="0" w:type="auto"/>
          </w:tcPr>
          <w:p w14:paraId="11757777" w14:textId="77777777" w:rsidR="006105B3" w:rsidRPr="00343448"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Philip Morris Int.</w:t>
            </w:r>
          </w:p>
        </w:tc>
        <w:tc>
          <w:tcPr>
            <w:tcW w:w="1200" w:type="dxa"/>
          </w:tcPr>
          <w:p w14:paraId="6274C4FA" w14:textId="77777777" w:rsidR="006105B3" w:rsidRPr="00343448" w:rsidRDefault="006105B3"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546" w:type="dxa"/>
          </w:tcPr>
          <w:p w14:paraId="34B5A63A"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1366" w:type="dxa"/>
          </w:tcPr>
          <w:p w14:paraId="37B6DF21"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$175-$200</w:t>
            </w:r>
          </w:p>
        </w:tc>
        <w:tc>
          <w:tcPr>
            <w:tcW w:w="1224" w:type="dxa"/>
            <w:shd w:val="clear" w:color="auto" w:fill="B3E5A1" w:themeFill="accent6" w:themeFillTint="66"/>
          </w:tcPr>
          <w:p w14:paraId="7D9AC994" w14:textId="77777777" w:rsidR="006105B3" w:rsidRPr="00573D20"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73D20">
              <w:rPr>
                <w:rFonts w:asciiTheme="minorHAnsi" w:hAnsiTheme="minorHAnsi"/>
                <w:szCs w:val="22"/>
              </w:rPr>
              <w:t>$191</w:t>
            </w:r>
          </w:p>
        </w:tc>
        <w:tc>
          <w:tcPr>
            <w:tcW w:w="0" w:type="auto"/>
          </w:tcPr>
          <w:p w14:paraId="363435BE" w14:textId="77777777" w:rsidR="006105B3" w:rsidRPr="00343448"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19.2%</w:t>
            </w:r>
          </w:p>
        </w:tc>
      </w:tr>
      <w:tr w:rsidR="006105B3" w:rsidRPr="00343448" w14:paraId="64069F5A"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A6F78C" w14:textId="77777777" w:rsidR="006105B3" w:rsidRPr="00343448" w:rsidRDefault="006105B3" w:rsidP="0066444C">
            <w:pPr>
              <w:pStyle w:val="p1"/>
              <w:rPr>
                <w:rFonts w:asciiTheme="minorHAnsi" w:hAnsiTheme="minorHAnsi"/>
                <w:szCs w:val="22"/>
              </w:rPr>
            </w:pPr>
            <w:r>
              <w:rPr>
                <w:rFonts w:asciiTheme="minorHAnsi" w:hAnsiTheme="minorHAnsi"/>
                <w:szCs w:val="22"/>
              </w:rPr>
              <w:t>9</w:t>
            </w:r>
          </w:p>
        </w:tc>
        <w:tc>
          <w:tcPr>
            <w:tcW w:w="0" w:type="auto"/>
            <w:shd w:val="clear" w:color="auto" w:fill="auto"/>
            <w:hideMark/>
          </w:tcPr>
          <w:p w14:paraId="497391F2" w14:textId="77777777" w:rsidR="006105B3" w:rsidRPr="009A1CFD"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9A1CFD">
              <w:rPr>
                <w:rFonts w:asciiTheme="minorHAnsi" w:hAnsiTheme="minorHAnsi"/>
                <w:szCs w:val="22"/>
              </w:rPr>
              <w:t>KO</w:t>
            </w:r>
            <w:r w:rsidRPr="00573D20">
              <w:rPr>
                <w:rFonts w:asciiTheme="minorHAnsi" w:hAnsiTheme="minorHAnsi"/>
                <w:szCs w:val="22"/>
                <w:vertAlign w:val="superscript"/>
              </w:rPr>
              <w:t>4</w:t>
            </w:r>
          </w:p>
        </w:tc>
        <w:tc>
          <w:tcPr>
            <w:tcW w:w="0" w:type="auto"/>
            <w:hideMark/>
          </w:tcPr>
          <w:p w14:paraId="71B2D3D1" w14:textId="77777777" w:rsidR="006105B3" w:rsidRPr="00343448" w:rsidRDefault="006105B3"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43448">
              <w:rPr>
                <w:rFonts w:asciiTheme="minorHAnsi" w:hAnsiTheme="minorHAnsi"/>
                <w:szCs w:val="22"/>
              </w:rPr>
              <w:t>Coca-Cola</w:t>
            </w:r>
          </w:p>
        </w:tc>
        <w:tc>
          <w:tcPr>
            <w:tcW w:w="1200" w:type="dxa"/>
            <w:hideMark/>
          </w:tcPr>
          <w:p w14:paraId="7474F022" w14:textId="77777777" w:rsidR="006105B3" w:rsidRPr="00343448" w:rsidRDefault="006105B3"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546" w:type="dxa"/>
            <w:hideMark/>
          </w:tcPr>
          <w:p w14:paraId="452D4841"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1366" w:type="dxa"/>
            <w:hideMark/>
          </w:tcPr>
          <w:p w14:paraId="7539C1D9"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$71-$85</w:t>
            </w:r>
          </w:p>
        </w:tc>
        <w:tc>
          <w:tcPr>
            <w:tcW w:w="1224" w:type="dxa"/>
            <w:shd w:val="clear" w:color="auto" w:fill="B3E5A1" w:themeFill="accent6" w:themeFillTint="66"/>
            <w:hideMark/>
          </w:tcPr>
          <w:p w14:paraId="43CE92AD" w14:textId="77777777" w:rsidR="006105B3" w:rsidRPr="00573D20"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73D20">
              <w:rPr>
                <w:rFonts w:asciiTheme="minorHAnsi" w:hAnsiTheme="minorHAnsi"/>
                <w:szCs w:val="22"/>
              </w:rPr>
              <w:t>$80</w:t>
            </w:r>
          </w:p>
        </w:tc>
        <w:tc>
          <w:tcPr>
            <w:tcW w:w="0" w:type="auto"/>
            <w:hideMark/>
          </w:tcPr>
          <w:p w14:paraId="66DDBF73" w14:textId="77777777" w:rsidR="006105B3" w:rsidRPr="00343448" w:rsidRDefault="006105B3"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15.7%</w:t>
            </w:r>
          </w:p>
        </w:tc>
      </w:tr>
      <w:tr w:rsidR="006105B3" w:rsidRPr="00343448" w14:paraId="63793E84"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6D1C3435" w14:textId="77777777" w:rsidR="006105B3" w:rsidRDefault="006105B3" w:rsidP="0066444C">
            <w:pPr>
              <w:pStyle w:val="p1"/>
              <w:rPr>
                <w:rFonts w:asciiTheme="minorHAnsi" w:hAnsiTheme="minorHAnsi"/>
                <w:szCs w:val="22"/>
              </w:rPr>
            </w:pPr>
            <w:r>
              <w:rPr>
                <w:rFonts w:asciiTheme="minorHAnsi" w:hAnsiTheme="minorHAnsi"/>
                <w:szCs w:val="22"/>
              </w:rPr>
              <w:t>10</w:t>
            </w:r>
          </w:p>
        </w:tc>
        <w:tc>
          <w:tcPr>
            <w:tcW w:w="0" w:type="auto"/>
          </w:tcPr>
          <w:p w14:paraId="6E0BC066" w14:textId="77777777" w:rsidR="006105B3" w:rsidRPr="009A1CFD"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9A1CFD">
              <w:rPr>
                <w:rFonts w:asciiTheme="minorHAnsi" w:hAnsiTheme="minorHAnsi"/>
                <w:szCs w:val="22"/>
              </w:rPr>
              <w:t>CL</w:t>
            </w:r>
            <w:r w:rsidRPr="00573D20">
              <w:rPr>
                <w:rFonts w:asciiTheme="minorHAnsi" w:hAnsiTheme="minorHAnsi"/>
                <w:szCs w:val="22"/>
                <w:vertAlign w:val="superscript"/>
              </w:rPr>
              <w:t>4</w:t>
            </w:r>
          </w:p>
        </w:tc>
        <w:tc>
          <w:tcPr>
            <w:tcW w:w="0" w:type="auto"/>
          </w:tcPr>
          <w:p w14:paraId="53E0FF84" w14:textId="3311E4BA" w:rsidR="006105B3" w:rsidRDefault="006105B3"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 xml:space="preserve">Colgate </w:t>
            </w:r>
            <w:r w:rsidR="00143365">
              <w:rPr>
                <w:rFonts w:asciiTheme="minorHAnsi" w:hAnsiTheme="minorHAnsi"/>
                <w:szCs w:val="22"/>
              </w:rPr>
              <w:t>Palmolive</w:t>
            </w:r>
          </w:p>
        </w:tc>
        <w:tc>
          <w:tcPr>
            <w:tcW w:w="1200" w:type="dxa"/>
          </w:tcPr>
          <w:p w14:paraId="79B74B88" w14:textId="77777777" w:rsidR="006105B3" w:rsidRDefault="006105B3"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546" w:type="dxa"/>
          </w:tcPr>
          <w:p w14:paraId="07D9A5C8"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0.83</w:t>
            </w:r>
          </w:p>
        </w:tc>
        <w:tc>
          <w:tcPr>
            <w:tcW w:w="1366" w:type="dxa"/>
          </w:tcPr>
          <w:p w14:paraId="43B9A96C"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$77-$95</w:t>
            </w:r>
          </w:p>
        </w:tc>
        <w:tc>
          <w:tcPr>
            <w:tcW w:w="1224" w:type="dxa"/>
            <w:shd w:val="clear" w:color="auto" w:fill="B3E5A1" w:themeFill="accent6" w:themeFillTint="66"/>
          </w:tcPr>
          <w:p w14:paraId="44A55DD0" w14:textId="77777777" w:rsidR="006105B3" w:rsidRPr="00573D20"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73D20">
              <w:rPr>
                <w:rFonts w:asciiTheme="minorHAnsi" w:hAnsiTheme="minorHAnsi"/>
                <w:szCs w:val="22"/>
              </w:rPr>
              <w:t>$90</w:t>
            </w:r>
          </w:p>
        </w:tc>
        <w:tc>
          <w:tcPr>
            <w:tcW w:w="0" w:type="auto"/>
          </w:tcPr>
          <w:p w14:paraId="170CDCA4" w14:textId="77777777" w:rsidR="006105B3" w:rsidRDefault="006105B3"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15.2%</w:t>
            </w:r>
          </w:p>
        </w:tc>
      </w:tr>
    </w:tbl>
    <w:p w14:paraId="3D603DF9" w14:textId="77777777" w:rsidR="006105B3" w:rsidRPr="005C3B4E" w:rsidRDefault="006105B3" w:rsidP="006105B3">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30364224" w14:textId="77777777" w:rsidR="006105B3" w:rsidRDefault="006105B3" w:rsidP="006105B3">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2C9419E6" w14:textId="77777777" w:rsidR="006105B3" w:rsidRDefault="006105B3" w:rsidP="006105B3">
      <w:pPr>
        <w:pStyle w:val="p1"/>
        <w:rPr>
          <w:sz w:val="20"/>
          <w:szCs w:val="20"/>
        </w:rPr>
      </w:pPr>
      <w:r w:rsidRPr="00B00B77">
        <w:rPr>
          <w:sz w:val="20"/>
          <w:szCs w:val="20"/>
          <w:vertAlign w:val="superscript"/>
        </w:rPr>
        <w:t>3</w:t>
      </w:r>
      <w:r>
        <w:rPr>
          <w:sz w:val="20"/>
          <w:szCs w:val="20"/>
        </w:rPr>
        <w:t xml:space="preserve"> Company has notable dividend component.</w:t>
      </w:r>
    </w:p>
    <w:p w14:paraId="48B25695" w14:textId="77777777" w:rsidR="006105B3" w:rsidRDefault="006105B3" w:rsidP="006105B3">
      <w:pPr>
        <w:pStyle w:val="p1"/>
        <w:rPr>
          <w:sz w:val="20"/>
          <w:szCs w:val="20"/>
        </w:rPr>
      </w:pPr>
      <w:r w:rsidRPr="00573D20">
        <w:rPr>
          <w:sz w:val="20"/>
          <w:szCs w:val="20"/>
          <w:vertAlign w:val="superscript"/>
        </w:rPr>
        <w:t>4</w:t>
      </w:r>
      <w:r>
        <w:rPr>
          <w:sz w:val="20"/>
          <w:szCs w:val="20"/>
        </w:rPr>
        <w:t xml:space="preserve"> Price rose too fast to buy.</w:t>
      </w:r>
    </w:p>
    <w:p w14:paraId="6395BF4D" w14:textId="2F8EB641" w:rsidR="00943820" w:rsidRPr="00943820" w:rsidRDefault="00943820" w:rsidP="00943820">
      <w:pPr>
        <w:pStyle w:val="p1"/>
        <w:rPr>
          <w:b/>
          <w:bCs/>
          <w:kern w:val="36"/>
          <w:sz w:val="28"/>
          <w:szCs w:val="28"/>
        </w:rPr>
      </w:pPr>
      <w:r>
        <w:rPr>
          <w:sz w:val="20"/>
          <w:szCs w:val="20"/>
        </w:rPr>
        <w:t>Notes: Tickers highlighted green were selected.  Thesis 1-year targets highlighted in green were achieved during calendar year 2026.</w:t>
      </w:r>
      <w:r>
        <w:rPr>
          <w:b/>
          <w:bCs/>
          <w:kern w:val="36"/>
          <w:sz w:val="28"/>
          <w:szCs w:val="28"/>
        </w:rPr>
        <w:br w:type="page"/>
      </w:r>
    </w:p>
    <w:p w14:paraId="02D8D859" w14:textId="77777777" w:rsidR="00943820" w:rsidRDefault="00943820" w:rsidP="00943820">
      <w:pPr>
        <w:pStyle w:val="Heading3"/>
      </w:pPr>
      <w:r>
        <w:lastRenderedPageBreak/>
        <w:t>Real Estate Sector Outlook:</w:t>
      </w:r>
    </w:p>
    <w:p w14:paraId="53F08CF9" w14:textId="77777777" w:rsidR="00943820" w:rsidRPr="00343448" w:rsidRDefault="00943820" w:rsidP="00943820">
      <w:pPr>
        <w:pStyle w:val="p1"/>
      </w:pPr>
      <w:r w:rsidRPr="00343448">
        <w:t xml:space="preserve">In 2026, real estate moves into a </w:t>
      </w:r>
      <w:r w:rsidRPr="00343448">
        <w:rPr>
          <w:rStyle w:val="s1"/>
          <w:rFonts w:eastAsiaTheme="majorEastAsia"/>
        </w:rPr>
        <w:t>cautiously improved but sharply bifurcated</w:t>
      </w:r>
      <w:r w:rsidRPr="00343448">
        <w:t xml:space="preserve"> regime. Cooling inflation and stabilizing construction costs help fundamentals at the margin, yet financing conditions only partially ease because elevated U.S. debt and heavy Treasury issuance keep long-term yields structurally higher than in prior “rate-cut” cycles. As a result, sector outcomes are driven less by a broad cyclical rebound and more by </w:t>
      </w:r>
      <w:r w:rsidRPr="00343448">
        <w:rPr>
          <w:rStyle w:val="s1"/>
          <w:rFonts w:eastAsiaTheme="majorEastAsia"/>
        </w:rPr>
        <w:t>balance-sheet strength, refinancing access, tenant quality, and asset-level resilience</w:t>
      </w:r>
      <w:r w:rsidRPr="00343448">
        <w:t>. Residential markets begin a slow thaw as mortgage rates stabilize around the mid-6% range, supporting modestly improved affordability, gradual transaction recovery, and roughly flat to low-single-digit home price growth—while “rate lock” still constrains turnover. Single-family rentals remain supported by affordability gaps, and multifamily stabilizes as the 2023–2025 supply wave is absorbed, though results vary significantly by metro. Industrial stays structurally healthy, supported by reshoring, logistics optimization, and automation.</w:t>
      </w:r>
    </w:p>
    <w:p w14:paraId="4E5D009A" w14:textId="77777777" w:rsidR="00943820" w:rsidRPr="00343448" w:rsidRDefault="00943820" w:rsidP="00943820">
      <w:pPr>
        <w:pStyle w:val="p1"/>
      </w:pPr>
      <w:r w:rsidRPr="00343448">
        <w:t xml:space="preserve">The defining pressures of 2026 sit in the commercial and infrastructure </w:t>
      </w:r>
      <w:proofErr w:type="gramStart"/>
      <w:r w:rsidRPr="00343448">
        <w:t>cross-currents</w:t>
      </w:r>
      <w:proofErr w:type="gramEnd"/>
      <w:r w:rsidRPr="00343448">
        <w:t xml:space="preserve">. </w:t>
      </w:r>
      <w:r w:rsidRPr="00343448">
        <w:rPr>
          <w:rStyle w:val="s1"/>
          <w:rFonts w:eastAsiaTheme="majorEastAsia"/>
        </w:rPr>
        <w:t>Commercial real estate refinancing risk</w:t>
      </w:r>
      <w:r w:rsidRPr="00343448">
        <w:t xml:space="preserve"> remains the sector’s key systemic vulnerability: a large maturity wall collides with higher term premia and restrictive capital costs, keeping cap rates elevated and forcing distress and repricing—especially in older office stock. Office remains structurally impaired: Class B/C valuations stay pressured, conversions and repurposing accelerate, and flight-to-quality supports only the best assets; stress concentrates in specific landlords, geographies, and regional-bank exposures rather than appearing as a uniform national collapse. At the same time, </w:t>
      </w:r>
      <w:r w:rsidRPr="00343448">
        <w:rPr>
          <w:rStyle w:val="s1"/>
          <w:rFonts w:eastAsiaTheme="majorEastAsia"/>
        </w:rPr>
        <w:t>climate-driven insurance repricing</w:t>
      </w:r>
      <w:r w:rsidRPr="00343448">
        <w:t xml:space="preserve"> becomes more economically explicit: coverage availability turns patchier, premiums rise, and municipalities in high-risk regions face heavier infrastructure and disaster-recovery burdens that feed back into taxes, local demand, and property values—creating rapid internal divergence even within the same Sun Belt markets.</w:t>
      </w:r>
    </w:p>
    <w:p w14:paraId="60ED041C" w14:textId="77777777" w:rsidR="00943820" w:rsidRPr="00343448" w:rsidRDefault="00943820" w:rsidP="00943820">
      <w:pPr>
        <w:pStyle w:val="p1"/>
      </w:pPr>
      <w:r w:rsidRPr="00343448">
        <w:t xml:space="preserve">Finally, the AI-era built environment reshapes “winners” through </w:t>
      </w:r>
      <w:r w:rsidRPr="00343448">
        <w:rPr>
          <w:rStyle w:val="s1"/>
          <w:rFonts w:eastAsiaTheme="majorEastAsia"/>
        </w:rPr>
        <w:t>power-constrained growth</w:t>
      </w:r>
      <w:r w:rsidRPr="00343448">
        <w:t xml:space="preserve">. Data-center real estate is among the strongest subsectors, but the true scarcity is increasingly </w:t>
      </w:r>
      <w:r w:rsidRPr="00343448">
        <w:rPr>
          <w:rStyle w:val="s1"/>
          <w:rFonts w:eastAsiaTheme="majorEastAsia"/>
        </w:rPr>
        <w:t>time-to-power</w:t>
      </w:r>
      <w:r w:rsidRPr="00343448">
        <w:t xml:space="preserve">: grid interconnection queues, substation capacity, permitting, and transmission upgrades matter as much as land or zoning. This same power constraint influences where industrial expansion is feasible. Retail holds up best in necessity-based formats (grocery-anchored, value-oriented), while discretionary-heavy retail remains more sensitive to local affordability and insurance pressures. Net: 2026 is not a uniform rebound; it is a </w:t>
      </w:r>
      <w:r w:rsidRPr="00343448">
        <w:rPr>
          <w:rStyle w:val="s1"/>
          <w:rFonts w:eastAsiaTheme="majorEastAsia"/>
        </w:rPr>
        <w:t>selective, two-sided market</w:t>
      </w:r>
      <w:r w:rsidRPr="00343448">
        <w:t>—with durable outperformance in data centers, industrial, healthcare-oriented assets, and high-quality residential, offset by continued structural impairment in office and refinancing-fragile, climate-exposed portfolios.</w:t>
      </w:r>
    </w:p>
    <w:p w14:paraId="7FC3A326" w14:textId="77777777" w:rsidR="00943820" w:rsidRPr="00343448" w:rsidRDefault="00943820" w:rsidP="00943820">
      <w:pPr>
        <w:pStyle w:val="p3"/>
        <w:rPr>
          <w:b/>
          <w:bCs/>
        </w:rPr>
      </w:pPr>
      <w:r>
        <w:rPr>
          <w:b/>
          <w:bCs/>
        </w:rPr>
        <w:t xml:space="preserve">Predicted 30-year fixed rate (updated): </w:t>
      </w:r>
    </w:p>
    <w:tbl>
      <w:tblPr>
        <w:tblStyle w:val="GridTable1Light"/>
        <w:tblW w:w="0" w:type="auto"/>
        <w:tblLook w:val="04A0" w:firstRow="1" w:lastRow="0" w:firstColumn="1" w:lastColumn="0" w:noHBand="0" w:noVBand="1"/>
      </w:tblPr>
      <w:tblGrid>
        <w:gridCol w:w="1345"/>
        <w:gridCol w:w="1980"/>
        <w:gridCol w:w="1260"/>
      </w:tblGrid>
      <w:tr w:rsidR="00943820" w14:paraId="74420018"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5" w:type="dxa"/>
            <w:hideMark/>
          </w:tcPr>
          <w:p w14:paraId="0F56E81C" w14:textId="77777777" w:rsidR="00943820" w:rsidRDefault="00943820" w:rsidP="0066444C">
            <w:pPr>
              <w:pStyle w:val="p1"/>
              <w:jc w:val="center"/>
            </w:pPr>
            <w:r>
              <w:rPr>
                <w:b w:val="0"/>
                <w:bCs w:val="0"/>
              </w:rPr>
              <w:t>AI Source</w:t>
            </w:r>
          </w:p>
        </w:tc>
        <w:tc>
          <w:tcPr>
            <w:tcW w:w="1980" w:type="dxa"/>
            <w:hideMark/>
          </w:tcPr>
          <w:p w14:paraId="14134507" w14:textId="77777777" w:rsidR="00943820"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Forecast range</w:t>
            </w:r>
          </w:p>
        </w:tc>
        <w:tc>
          <w:tcPr>
            <w:tcW w:w="1260" w:type="dxa"/>
            <w:hideMark/>
          </w:tcPr>
          <w:p w14:paraId="424BE2A1" w14:textId="77777777" w:rsidR="00943820"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b w:val="0"/>
                <w:bCs w:val="0"/>
              </w:rPr>
            </w:pPr>
            <w:r>
              <w:rPr>
                <w:b w:val="0"/>
                <w:bCs w:val="0"/>
              </w:rPr>
              <w:t>Midpoint</w:t>
            </w:r>
          </w:p>
        </w:tc>
      </w:tr>
      <w:tr w:rsidR="00943820" w14:paraId="37518DA6" w14:textId="77777777" w:rsidTr="0066444C">
        <w:tc>
          <w:tcPr>
            <w:cnfStyle w:val="001000000000" w:firstRow="0" w:lastRow="0" w:firstColumn="1" w:lastColumn="0" w:oddVBand="0" w:evenVBand="0" w:oddHBand="0" w:evenHBand="0" w:firstRowFirstColumn="0" w:firstRowLastColumn="0" w:lastRowFirstColumn="0" w:lastRowLastColumn="0"/>
            <w:tcW w:w="1345" w:type="dxa"/>
            <w:hideMark/>
          </w:tcPr>
          <w:p w14:paraId="230A8F1C" w14:textId="77777777" w:rsidR="00943820" w:rsidRPr="00FF792C" w:rsidRDefault="00943820" w:rsidP="0066444C">
            <w:pPr>
              <w:pStyle w:val="p1"/>
              <w:rPr>
                <w:b w:val="0"/>
                <w:bCs w:val="0"/>
              </w:rPr>
            </w:pPr>
            <w:r w:rsidRPr="00FF792C">
              <w:rPr>
                <w:b w:val="0"/>
                <w:bCs w:val="0"/>
              </w:rPr>
              <w:t>ChatGPT</w:t>
            </w:r>
          </w:p>
        </w:tc>
        <w:tc>
          <w:tcPr>
            <w:tcW w:w="1980" w:type="dxa"/>
            <w:hideMark/>
          </w:tcPr>
          <w:p w14:paraId="6720D859"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6.00% – 6.75%</w:t>
            </w:r>
          </w:p>
        </w:tc>
        <w:tc>
          <w:tcPr>
            <w:tcW w:w="1260" w:type="dxa"/>
            <w:hideMark/>
          </w:tcPr>
          <w:p w14:paraId="7218AA7E"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6.38%</w:t>
            </w:r>
          </w:p>
        </w:tc>
      </w:tr>
      <w:tr w:rsidR="00943820" w14:paraId="5B46600A" w14:textId="77777777" w:rsidTr="0066444C">
        <w:tc>
          <w:tcPr>
            <w:cnfStyle w:val="001000000000" w:firstRow="0" w:lastRow="0" w:firstColumn="1" w:lastColumn="0" w:oddVBand="0" w:evenVBand="0" w:oddHBand="0" w:evenHBand="0" w:firstRowFirstColumn="0" w:firstRowLastColumn="0" w:lastRowFirstColumn="0" w:lastRowLastColumn="0"/>
            <w:tcW w:w="1345" w:type="dxa"/>
            <w:hideMark/>
          </w:tcPr>
          <w:p w14:paraId="4EB3E61B" w14:textId="77777777" w:rsidR="00943820" w:rsidRPr="00FF792C" w:rsidRDefault="00943820" w:rsidP="0066444C">
            <w:pPr>
              <w:pStyle w:val="p1"/>
              <w:rPr>
                <w:b w:val="0"/>
                <w:bCs w:val="0"/>
              </w:rPr>
            </w:pPr>
            <w:r w:rsidRPr="00FF792C">
              <w:rPr>
                <w:b w:val="0"/>
                <w:bCs w:val="0"/>
              </w:rPr>
              <w:t>Perplexity</w:t>
            </w:r>
          </w:p>
        </w:tc>
        <w:tc>
          <w:tcPr>
            <w:tcW w:w="1980" w:type="dxa"/>
            <w:hideMark/>
          </w:tcPr>
          <w:p w14:paraId="668F7A9D"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5.75% – 6.50%</w:t>
            </w:r>
          </w:p>
        </w:tc>
        <w:tc>
          <w:tcPr>
            <w:tcW w:w="1260" w:type="dxa"/>
            <w:hideMark/>
          </w:tcPr>
          <w:p w14:paraId="295FCCF3"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6.13%</w:t>
            </w:r>
          </w:p>
        </w:tc>
      </w:tr>
      <w:tr w:rsidR="00943820" w14:paraId="519401D2" w14:textId="77777777" w:rsidTr="0066444C">
        <w:tc>
          <w:tcPr>
            <w:cnfStyle w:val="001000000000" w:firstRow="0" w:lastRow="0" w:firstColumn="1" w:lastColumn="0" w:oddVBand="0" w:evenVBand="0" w:oddHBand="0" w:evenHBand="0" w:firstRowFirstColumn="0" w:firstRowLastColumn="0" w:lastRowFirstColumn="0" w:lastRowLastColumn="0"/>
            <w:tcW w:w="1345" w:type="dxa"/>
            <w:hideMark/>
          </w:tcPr>
          <w:p w14:paraId="35DF50B3" w14:textId="77777777" w:rsidR="00943820" w:rsidRPr="00FF792C" w:rsidRDefault="00943820" w:rsidP="0066444C">
            <w:pPr>
              <w:pStyle w:val="p1"/>
              <w:rPr>
                <w:b w:val="0"/>
                <w:bCs w:val="0"/>
              </w:rPr>
            </w:pPr>
            <w:r>
              <w:rPr>
                <w:b w:val="0"/>
                <w:bCs w:val="0"/>
              </w:rPr>
              <w:t>Gemini</w:t>
            </w:r>
          </w:p>
        </w:tc>
        <w:tc>
          <w:tcPr>
            <w:tcW w:w="1980" w:type="dxa"/>
            <w:hideMark/>
          </w:tcPr>
          <w:p w14:paraId="5327C089"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6.00% – 6.30%</w:t>
            </w:r>
          </w:p>
        </w:tc>
        <w:tc>
          <w:tcPr>
            <w:tcW w:w="1260" w:type="dxa"/>
            <w:hideMark/>
          </w:tcPr>
          <w:p w14:paraId="37123BFC"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6.15%</w:t>
            </w:r>
          </w:p>
        </w:tc>
      </w:tr>
      <w:tr w:rsidR="00943820" w14:paraId="2A77A17F" w14:textId="77777777" w:rsidTr="0066444C">
        <w:tc>
          <w:tcPr>
            <w:cnfStyle w:val="001000000000" w:firstRow="0" w:lastRow="0" w:firstColumn="1" w:lastColumn="0" w:oddVBand="0" w:evenVBand="0" w:oddHBand="0" w:evenHBand="0" w:firstRowFirstColumn="0" w:firstRowLastColumn="0" w:lastRowFirstColumn="0" w:lastRowLastColumn="0"/>
            <w:tcW w:w="1345" w:type="dxa"/>
            <w:hideMark/>
          </w:tcPr>
          <w:p w14:paraId="3616B5DF" w14:textId="77777777" w:rsidR="00943820" w:rsidRPr="00FF792C" w:rsidRDefault="00943820" w:rsidP="0066444C">
            <w:pPr>
              <w:pStyle w:val="p1"/>
              <w:rPr>
                <w:b w:val="0"/>
                <w:bCs w:val="0"/>
              </w:rPr>
            </w:pPr>
            <w:r w:rsidRPr="00FF792C">
              <w:rPr>
                <w:b w:val="0"/>
                <w:bCs w:val="0"/>
              </w:rPr>
              <w:t>Grok</w:t>
            </w:r>
          </w:p>
        </w:tc>
        <w:tc>
          <w:tcPr>
            <w:tcW w:w="1980" w:type="dxa"/>
            <w:hideMark/>
          </w:tcPr>
          <w:p w14:paraId="204C0B06"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6.20% – 6.40%</w:t>
            </w:r>
          </w:p>
        </w:tc>
        <w:tc>
          <w:tcPr>
            <w:tcW w:w="1260" w:type="dxa"/>
            <w:hideMark/>
          </w:tcPr>
          <w:p w14:paraId="204FA4F2"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pPr>
            <w:r>
              <w:t>6.30%</w:t>
            </w:r>
          </w:p>
        </w:tc>
      </w:tr>
    </w:tbl>
    <w:p w14:paraId="4A7B46D9" w14:textId="77777777" w:rsidR="00943820" w:rsidRDefault="00943820" w:rsidP="00943820">
      <w:r>
        <w:lastRenderedPageBreak/>
        <w:t>Unified statistical summary:</w:t>
      </w:r>
    </w:p>
    <w:p w14:paraId="7659D822" w14:textId="77777777" w:rsidR="00943820" w:rsidRDefault="00943820" w:rsidP="00943820">
      <w:pPr>
        <w:pStyle w:val="ListParagraph"/>
        <w:numPr>
          <w:ilvl w:val="0"/>
          <w:numId w:val="64"/>
        </w:numPr>
      </w:pPr>
      <w:r>
        <w:t>Consensus overlap (where all forecasts agree):</w:t>
      </w:r>
      <w:r w:rsidRPr="007C0895">
        <w:rPr>
          <w:rStyle w:val="s1"/>
          <w:rFonts w:eastAsiaTheme="majorEastAsia"/>
        </w:rPr>
        <w:t xml:space="preserve"> </w:t>
      </w:r>
      <w:r>
        <w:t>6.20% – 6.30%</w:t>
      </w:r>
    </w:p>
    <w:p w14:paraId="6FC5805E" w14:textId="77777777" w:rsidR="00943820" w:rsidRDefault="00943820" w:rsidP="00943820">
      <w:pPr>
        <w:pStyle w:val="ListParagraph"/>
        <w:numPr>
          <w:ilvl w:val="0"/>
          <w:numId w:val="64"/>
        </w:numPr>
      </w:pPr>
      <w:r>
        <w:t>Full span across sources (min to max):</w:t>
      </w:r>
      <w:r w:rsidRPr="007C0895">
        <w:rPr>
          <w:rStyle w:val="s1"/>
          <w:rFonts w:eastAsiaTheme="majorEastAsia"/>
        </w:rPr>
        <w:t xml:space="preserve"> </w:t>
      </w:r>
      <w:r>
        <w:t>5.75% – 6.75%</w:t>
      </w:r>
    </w:p>
    <w:p w14:paraId="06DA8545" w14:textId="77777777" w:rsidR="00943820" w:rsidRPr="00C23D3F" w:rsidRDefault="00943820" w:rsidP="00943820">
      <w:pPr>
        <w:pStyle w:val="ListParagraph"/>
        <w:numPr>
          <w:ilvl w:val="0"/>
          <w:numId w:val="64"/>
        </w:numPr>
      </w:pPr>
      <w:r>
        <w:t>Central estimate (median of midpoints):</w:t>
      </w:r>
      <w:r w:rsidRPr="007C0895">
        <w:rPr>
          <w:rStyle w:val="s1"/>
          <w:rFonts w:eastAsiaTheme="majorEastAsia"/>
        </w:rPr>
        <w:t xml:space="preserve"> </w:t>
      </w:r>
      <w:r>
        <w:t>~6.23%</w:t>
      </w:r>
      <w:r w:rsidRPr="007C0895">
        <w:rPr>
          <w:rStyle w:val="s1"/>
          <w:rFonts w:eastAsiaTheme="majorEastAsia"/>
        </w:rPr>
        <w:t xml:space="preserve"> </w:t>
      </w:r>
    </w:p>
    <w:p w14:paraId="083769EF" w14:textId="77777777" w:rsidR="00943820" w:rsidRDefault="00943820" w:rsidP="00943820">
      <w:pPr>
        <w:pStyle w:val="p3"/>
      </w:pPr>
      <w:r>
        <w:rPr>
          <w:b/>
          <w:bCs/>
        </w:rPr>
        <w:t>Top Real Estate companies positioned for 2026:</w:t>
      </w:r>
    </w:p>
    <w:tbl>
      <w:tblPr>
        <w:tblStyle w:val="ListTable4-Accent4"/>
        <w:tblW w:w="9805" w:type="dxa"/>
        <w:tblLook w:val="04A0" w:firstRow="1" w:lastRow="0" w:firstColumn="1" w:lastColumn="0" w:noHBand="0" w:noVBand="1"/>
      </w:tblPr>
      <w:tblGrid>
        <w:gridCol w:w="743"/>
        <w:gridCol w:w="824"/>
        <w:gridCol w:w="1742"/>
        <w:gridCol w:w="1245"/>
        <w:gridCol w:w="1194"/>
        <w:gridCol w:w="1357"/>
        <w:gridCol w:w="1224"/>
        <w:gridCol w:w="1476"/>
      </w:tblGrid>
      <w:tr w:rsidR="00943820" w:rsidRPr="007C0895" w14:paraId="6CD954B7"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E79C56" w14:textId="77777777" w:rsidR="00943820" w:rsidRPr="007C0895" w:rsidRDefault="00943820" w:rsidP="0066444C">
            <w:pPr>
              <w:pStyle w:val="p1"/>
              <w:jc w:val="center"/>
              <w:rPr>
                <w:rFonts w:asciiTheme="minorHAnsi" w:hAnsiTheme="minorHAnsi"/>
                <w:sz w:val="20"/>
                <w:szCs w:val="20"/>
              </w:rPr>
            </w:pPr>
            <w:r w:rsidRPr="00343448">
              <w:rPr>
                <w:rFonts w:asciiTheme="minorHAnsi" w:hAnsiTheme="minorHAnsi"/>
                <w:b w:val="0"/>
                <w:bCs w:val="0"/>
                <w:sz w:val="21"/>
                <w:szCs w:val="21"/>
              </w:rPr>
              <w:t>Rank</w:t>
            </w:r>
            <w:r w:rsidRPr="00EE7037">
              <w:rPr>
                <w:rFonts w:asciiTheme="minorHAnsi" w:hAnsiTheme="minorHAnsi"/>
                <w:b w:val="0"/>
                <w:bCs w:val="0"/>
                <w:sz w:val="21"/>
                <w:szCs w:val="21"/>
                <w:vertAlign w:val="superscript"/>
              </w:rPr>
              <w:t>1</w:t>
            </w:r>
          </w:p>
        </w:tc>
        <w:tc>
          <w:tcPr>
            <w:tcW w:w="0" w:type="auto"/>
            <w:hideMark/>
          </w:tcPr>
          <w:p w14:paraId="60657704"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343448">
              <w:rPr>
                <w:rFonts w:asciiTheme="minorHAnsi" w:hAnsiTheme="minorHAnsi"/>
                <w:b w:val="0"/>
                <w:bCs w:val="0"/>
                <w:sz w:val="21"/>
                <w:szCs w:val="21"/>
              </w:rPr>
              <w:t>Ticker</w:t>
            </w:r>
          </w:p>
        </w:tc>
        <w:tc>
          <w:tcPr>
            <w:tcW w:w="0" w:type="auto"/>
            <w:hideMark/>
          </w:tcPr>
          <w:p w14:paraId="2F93C43F"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343448">
              <w:rPr>
                <w:rFonts w:asciiTheme="minorHAnsi" w:hAnsiTheme="minorHAnsi"/>
                <w:b w:val="0"/>
                <w:bCs w:val="0"/>
                <w:sz w:val="21"/>
                <w:szCs w:val="21"/>
              </w:rPr>
              <w:t>Company</w:t>
            </w:r>
          </w:p>
        </w:tc>
        <w:tc>
          <w:tcPr>
            <w:tcW w:w="1245" w:type="dxa"/>
            <w:hideMark/>
          </w:tcPr>
          <w:p w14:paraId="52DC7F06"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743573">
              <w:rPr>
                <w:rFonts w:asciiTheme="minorHAnsi" w:hAnsiTheme="minorHAnsi"/>
                <w:b w:val="0"/>
                <w:bCs w:val="0"/>
                <w:szCs w:val="22"/>
              </w:rPr>
              <w:t xml:space="preserve">Top 5 Total </w:t>
            </w:r>
            <w:proofErr w:type="spellStart"/>
            <w:r w:rsidRPr="00743573">
              <w:rPr>
                <w:rFonts w:asciiTheme="minorHAnsi" w:hAnsiTheme="minorHAnsi"/>
                <w:b w:val="0"/>
                <w:bCs w:val="0"/>
                <w:szCs w:val="22"/>
              </w:rPr>
              <w:t>Rtn</w:t>
            </w:r>
            <w:proofErr w:type="spellEnd"/>
          </w:p>
        </w:tc>
        <w:tc>
          <w:tcPr>
            <w:tcW w:w="1194" w:type="dxa"/>
            <w:hideMark/>
          </w:tcPr>
          <w:p w14:paraId="7001F6B9"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1357" w:type="dxa"/>
            <w:hideMark/>
          </w:tcPr>
          <w:p w14:paraId="1663067A"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 xml:space="preserve">Analyst 1-yr </w:t>
            </w:r>
            <w:r>
              <w:rPr>
                <w:rFonts w:asciiTheme="minorHAnsi" w:hAnsiTheme="minorHAnsi"/>
                <w:b w:val="0"/>
                <w:bCs w:val="0"/>
                <w:sz w:val="20"/>
                <w:szCs w:val="20"/>
              </w:rPr>
              <w:t>T</w:t>
            </w:r>
            <w:r w:rsidRPr="00B35BE4">
              <w:rPr>
                <w:rFonts w:asciiTheme="minorHAnsi" w:hAnsiTheme="minorHAnsi"/>
                <w:b w:val="0"/>
                <w:bCs w:val="0"/>
                <w:sz w:val="20"/>
                <w:szCs w:val="20"/>
              </w:rPr>
              <w:t>arget</w:t>
            </w:r>
          </w:p>
        </w:tc>
        <w:tc>
          <w:tcPr>
            <w:tcW w:w="1224" w:type="dxa"/>
            <w:hideMark/>
          </w:tcPr>
          <w:p w14:paraId="6FFC461E"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 xml:space="preserve">1-yr </w:t>
            </w:r>
            <w:proofErr w:type="spellStart"/>
            <w:r>
              <w:rPr>
                <w:rFonts w:asciiTheme="minorHAnsi" w:hAnsiTheme="minorHAnsi"/>
                <w:b w:val="0"/>
                <w:bCs w:val="0"/>
                <w:sz w:val="20"/>
                <w:szCs w:val="20"/>
              </w:rPr>
              <w:t>T</w:t>
            </w:r>
            <w:r w:rsidRPr="00B35BE4">
              <w:rPr>
                <w:rFonts w:asciiTheme="minorHAnsi" w:hAnsiTheme="minorHAnsi"/>
                <w:b w:val="0"/>
                <w:bCs w:val="0"/>
                <w:sz w:val="20"/>
                <w:szCs w:val="20"/>
              </w:rPr>
              <w:t>gt</w:t>
            </w:r>
            <w:proofErr w:type="spellEnd"/>
          </w:p>
        </w:tc>
        <w:tc>
          <w:tcPr>
            <w:tcW w:w="1476" w:type="dxa"/>
            <w:hideMark/>
          </w:tcPr>
          <w:p w14:paraId="3C1AD7E6" w14:textId="77777777" w:rsidR="00943820" w:rsidRPr="007C0895"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1-Yr</w:t>
            </w:r>
            <w:r w:rsidRPr="00B35BE4">
              <w:rPr>
                <w:rFonts w:asciiTheme="minorHAnsi" w:hAnsiTheme="minorHAnsi"/>
                <w:b w:val="0"/>
                <w:bCs w:val="0"/>
                <w:sz w:val="20"/>
                <w:szCs w:val="20"/>
              </w:rPr>
              <w:t xml:space="preserve"> </w:t>
            </w:r>
            <w:proofErr w:type="spellStart"/>
            <w:r w:rsidRPr="00B35BE4">
              <w:rPr>
                <w:rFonts w:asciiTheme="minorHAnsi" w:hAnsiTheme="minorHAnsi"/>
                <w:b w:val="0"/>
                <w:bCs w:val="0"/>
                <w:sz w:val="20"/>
                <w:szCs w:val="20"/>
              </w:rPr>
              <w:t>Rtn</w:t>
            </w:r>
            <w:proofErr w:type="spellEnd"/>
            <w:r>
              <w:rPr>
                <w:rFonts w:asciiTheme="minorHAnsi" w:hAnsiTheme="minorHAnsi"/>
                <w:b w:val="0"/>
                <w:bCs w:val="0"/>
                <w:sz w:val="20"/>
                <w:szCs w:val="20"/>
              </w:rPr>
              <w:br/>
              <w:t>(Thesis)</w:t>
            </w:r>
          </w:p>
        </w:tc>
      </w:tr>
      <w:tr w:rsidR="00943820" w:rsidRPr="007C0895" w14:paraId="02801D0A"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93D93A" w14:textId="77777777" w:rsidR="00943820" w:rsidRPr="007C0895" w:rsidRDefault="00943820" w:rsidP="0066444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hideMark/>
          </w:tcPr>
          <w:p w14:paraId="0B0183BB"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EQIX</w:t>
            </w:r>
          </w:p>
        </w:tc>
        <w:tc>
          <w:tcPr>
            <w:tcW w:w="0" w:type="auto"/>
            <w:hideMark/>
          </w:tcPr>
          <w:p w14:paraId="5427417F" w14:textId="77777777" w:rsidR="00943820" w:rsidRPr="007C0895"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C0895">
              <w:rPr>
                <w:rFonts w:asciiTheme="minorHAnsi" w:hAnsiTheme="minorHAnsi"/>
                <w:szCs w:val="22"/>
              </w:rPr>
              <w:t>Equinix</w:t>
            </w:r>
          </w:p>
        </w:tc>
        <w:tc>
          <w:tcPr>
            <w:tcW w:w="1245" w:type="dxa"/>
            <w:hideMark/>
          </w:tcPr>
          <w:p w14:paraId="0108978E" w14:textId="77777777" w:rsidR="00943820" w:rsidRPr="007C0895"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194" w:type="dxa"/>
            <w:hideMark/>
          </w:tcPr>
          <w:p w14:paraId="41AAE413"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0.96</w:t>
            </w:r>
          </w:p>
        </w:tc>
        <w:tc>
          <w:tcPr>
            <w:tcW w:w="1357" w:type="dxa"/>
            <w:hideMark/>
          </w:tcPr>
          <w:p w14:paraId="53FC7D4D"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$785-$1218</w:t>
            </w:r>
          </w:p>
        </w:tc>
        <w:tc>
          <w:tcPr>
            <w:tcW w:w="1224" w:type="dxa"/>
            <w:shd w:val="clear" w:color="auto" w:fill="B3E5A1" w:themeFill="accent6" w:themeFillTint="66"/>
            <w:hideMark/>
          </w:tcPr>
          <w:p w14:paraId="185FD475"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$978</w:t>
            </w:r>
          </w:p>
        </w:tc>
        <w:tc>
          <w:tcPr>
            <w:tcW w:w="1476" w:type="dxa"/>
            <w:hideMark/>
          </w:tcPr>
          <w:p w14:paraId="2F664C0B"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27.9%</w:t>
            </w:r>
          </w:p>
        </w:tc>
      </w:tr>
      <w:tr w:rsidR="00943820" w:rsidRPr="007C0895" w14:paraId="3CFB4216" w14:textId="77777777" w:rsidTr="00F503EC">
        <w:tc>
          <w:tcPr>
            <w:cnfStyle w:val="001000000000" w:firstRow="0" w:lastRow="0" w:firstColumn="1" w:lastColumn="0" w:oddVBand="0" w:evenVBand="0" w:oddHBand="0" w:evenHBand="0" w:firstRowFirstColumn="0" w:firstRowLastColumn="0" w:lastRowFirstColumn="0" w:lastRowLastColumn="0"/>
            <w:tcW w:w="0" w:type="auto"/>
            <w:hideMark/>
          </w:tcPr>
          <w:p w14:paraId="07E6B059" w14:textId="77777777" w:rsidR="00943820" w:rsidRPr="007C0895" w:rsidRDefault="00943820" w:rsidP="0066444C">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hideMark/>
          </w:tcPr>
          <w:p w14:paraId="38080427"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DLR</w:t>
            </w:r>
            <w:r w:rsidRPr="001A7119">
              <w:rPr>
                <w:rFonts w:asciiTheme="minorHAnsi" w:hAnsiTheme="minorHAnsi"/>
                <w:szCs w:val="22"/>
                <w:vertAlign w:val="superscript"/>
              </w:rPr>
              <w:t>3</w:t>
            </w:r>
          </w:p>
        </w:tc>
        <w:tc>
          <w:tcPr>
            <w:tcW w:w="0" w:type="auto"/>
            <w:hideMark/>
          </w:tcPr>
          <w:p w14:paraId="26941105" w14:textId="77777777" w:rsidR="00943820" w:rsidRPr="007C0895"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C0895">
              <w:rPr>
                <w:rFonts w:asciiTheme="minorHAnsi" w:hAnsiTheme="minorHAnsi"/>
                <w:szCs w:val="22"/>
              </w:rPr>
              <w:t>Digital Realty Trust</w:t>
            </w:r>
          </w:p>
        </w:tc>
        <w:tc>
          <w:tcPr>
            <w:tcW w:w="1245" w:type="dxa"/>
            <w:hideMark/>
          </w:tcPr>
          <w:p w14:paraId="195DB49A" w14:textId="77777777" w:rsidR="00943820" w:rsidRPr="007C0895"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194" w:type="dxa"/>
            <w:hideMark/>
          </w:tcPr>
          <w:p w14:paraId="3AE62BDF"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1357" w:type="dxa"/>
            <w:hideMark/>
          </w:tcPr>
          <w:p w14:paraId="2B2DDF22"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$161-$212</w:t>
            </w:r>
          </w:p>
        </w:tc>
        <w:tc>
          <w:tcPr>
            <w:tcW w:w="1224" w:type="dxa"/>
            <w:shd w:val="clear" w:color="auto" w:fill="B3E5A1" w:themeFill="accent6" w:themeFillTint="66"/>
            <w:hideMark/>
          </w:tcPr>
          <w:p w14:paraId="19D5DC04"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$197</w:t>
            </w:r>
          </w:p>
        </w:tc>
        <w:tc>
          <w:tcPr>
            <w:tcW w:w="1476" w:type="dxa"/>
            <w:hideMark/>
          </w:tcPr>
          <w:p w14:paraId="3C6655ED"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26.7%</w:t>
            </w:r>
          </w:p>
        </w:tc>
      </w:tr>
      <w:tr w:rsidR="00943820" w:rsidRPr="007C0895" w14:paraId="54BDAD4B"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E23096E" w14:textId="77777777" w:rsidR="00943820" w:rsidRPr="007C0895" w:rsidRDefault="00943820" w:rsidP="0066444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712D86B7"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PSA</w:t>
            </w:r>
            <w:r w:rsidRPr="005F4D3E">
              <w:rPr>
                <w:rFonts w:asciiTheme="minorHAnsi" w:hAnsiTheme="minorHAnsi"/>
                <w:szCs w:val="22"/>
                <w:vertAlign w:val="superscript"/>
              </w:rPr>
              <w:t>3</w:t>
            </w:r>
          </w:p>
        </w:tc>
        <w:tc>
          <w:tcPr>
            <w:tcW w:w="0" w:type="auto"/>
          </w:tcPr>
          <w:p w14:paraId="7A961ECD" w14:textId="77777777" w:rsidR="00943820" w:rsidRPr="007C0895"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Public Storage</w:t>
            </w:r>
          </w:p>
        </w:tc>
        <w:tc>
          <w:tcPr>
            <w:tcW w:w="1245" w:type="dxa"/>
          </w:tcPr>
          <w:p w14:paraId="6C289621" w14:textId="77777777" w:rsidR="00943820" w:rsidRPr="007C0895"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194" w:type="dxa"/>
          </w:tcPr>
          <w:p w14:paraId="6C147356"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0.80</w:t>
            </w:r>
          </w:p>
        </w:tc>
        <w:tc>
          <w:tcPr>
            <w:tcW w:w="1357" w:type="dxa"/>
          </w:tcPr>
          <w:p w14:paraId="6799941D"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$285-$349</w:t>
            </w:r>
          </w:p>
        </w:tc>
        <w:tc>
          <w:tcPr>
            <w:tcW w:w="1224" w:type="dxa"/>
          </w:tcPr>
          <w:p w14:paraId="09D40FB4" w14:textId="77777777" w:rsidR="00943820" w:rsidRPr="00B531EE"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531EE">
              <w:rPr>
                <w:rFonts w:asciiTheme="minorHAnsi" w:hAnsiTheme="minorHAnsi"/>
                <w:szCs w:val="22"/>
              </w:rPr>
              <w:t>$319</w:t>
            </w:r>
          </w:p>
        </w:tc>
        <w:tc>
          <w:tcPr>
            <w:tcW w:w="1476" w:type="dxa"/>
          </w:tcPr>
          <w:p w14:paraId="276B26D6" w14:textId="77777777" w:rsidR="00943820" w:rsidRPr="003A5771"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Pr>
                <w:rFonts w:asciiTheme="minorHAnsi" w:hAnsiTheme="minorHAnsi"/>
                <w:szCs w:val="22"/>
              </w:rPr>
              <w:t>23.2%</w:t>
            </w:r>
          </w:p>
        </w:tc>
      </w:tr>
      <w:tr w:rsidR="00943820" w:rsidRPr="007C0895" w14:paraId="124A6C8A"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0BADF004" w14:textId="77777777" w:rsidR="00943820" w:rsidRDefault="00943820" w:rsidP="0066444C">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tcPr>
          <w:p w14:paraId="2ADD6DCC" w14:textId="77777777" w:rsidR="00943820" w:rsidRPr="006E0BAD"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6E0BAD">
              <w:rPr>
                <w:rFonts w:asciiTheme="minorHAnsi" w:hAnsiTheme="minorHAnsi"/>
                <w:szCs w:val="22"/>
              </w:rPr>
              <w:t>CCI</w:t>
            </w:r>
            <w:r w:rsidRPr="006E0BAD">
              <w:rPr>
                <w:rFonts w:asciiTheme="minorHAnsi" w:hAnsiTheme="minorHAnsi"/>
                <w:szCs w:val="22"/>
                <w:vertAlign w:val="superscript"/>
              </w:rPr>
              <w:t>3</w:t>
            </w:r>
          </w:p>
        </w:tc>
        <w:tc>
          <w:tcPr>
            <w:tcW w:w="0" w:type="auto"/>
          </w:tcPr>
          <w:p w14:paraId="0BC9E243"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Crown Castle</w:t>
            </w:r>
          </w:p>
        </w:tc>
        <w:tc>
          <w:tcPr>
            <w:tcW w:w="1245" w:type="dxa"/>
          </w:tcPr>
          <w:p w14:paraId="5AF9CBD3" w14:textId="77777777" w:rsidR="00943820"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194" w:type="dxa"/>
          </w:tcPr>
          <w:p w14:paraId="3C0D534A"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0.79</w:t>
            </w:r>
          </w:p>
        </w:tc>
        <w:tc>
          <w:tcPr>
            <w:tcW w:w="1357" w:type="dxa"/>
          </w:tcPr>
          <w:p w14:paraId="66411E77"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$101-$127</w:t>
            </w:r>
          </w:p>
        </w:tc>
        <w:tc>
          <w:tcPr>
            <w:tcW w:w="1224" w:type="dxa"/>
          </w:tcPr>
          <w:p w14:paraId="6B3A9A3D" w14:textId="77777777" w:rsidR="00943820" w:rsidRPr="00B531EE"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531EE">
              <w:rPr>
                <w:rFonts w:asciiTheme="minorHAnsi" w:hAnsiTheme="minorHAnsi"/>
                <w:szCs w:val="22"/>
              </w:rPr>
              <w:t>$117</w:t>
            </w:r>
          </w:p>
        </w:tc>
        <w:tc>
          <w:tcPr>
            <w:tcW w:w="1476" w:type="dxa"/>
          </w:tcPr>
          <w:p w14:paraId="423BFC4A"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31.3%</w:t>
            </w:r>
          </w:p>
        </w:tc>
      </w:tr>
      <w:tr w:rsidR="00943820" w:rsidRPr="007C0895" w14:paraId="2CC98C65"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32B2D0" w14:textId="77777777" w:rsidR="00943820" w:rsidRPr="007C0895" w:rsidRDefault="00943820" w:rsidP="0066444C">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hideMark/>
          </w:tcPr>
          <w:p w14:paraId="5002B6BE" w14:textId="77777777" w:rsidR="00943820" w:rsidRPr="00A91993"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A91993">
              <w:rPr>
                <w:rFonts w:asciiTheme="minorHAnsi" w:hAnsiTheme="minorHAnsi"/>
                <w:szCs w:val="22"/>
              </w:rPr>
              <w:t>AMH</w:t>
            </w:r>
            <w:r w:rsidRPr="00A91993">
              <w:rPr>
                <w:rFonts w:asciiTheme="minorHAnsi" w:hAnsiTheme="minorHAnsi"/>
                <w:szCs w:val="22"/>
                <w:vertAlign w:val="superscript"/>
              </w:rPr>
              <w:t>3</w:t>
            </w:r>
          </w:p>
        </w:tc>
        <w:tc>
          <w:tcPr>
            <w:tcW w:w="0" w:type="auto"/>
            <w:hideMark/>
          </w:tcPr>
          <w:p w14:paraId="1329876B" w14:textId="77777777" w:rsidR="00943820" w:rsidRPr="007C0895"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C0895">
              <w:rPr>
                <w:rFonts w:asciiTheme="minorHAnsi" w:hAnsiTheme="minorHAnsi"/>
                <w:szCs w:val="22"/>
              </w:rPr>
              <w:t>American Homes 4 Rent</w:t>
            </w:r>
          </w:p>
        </w:tc>
        <w:tc>
          <w:tcPr>
            <w:tcW w:w="1245" w:type="dxa"/>
            <w:hideMark/>
          </w:tcPr>
          <w:p w14:paraId="3B3CD908" w14:textId="77777777" w:rsidR="00943820" w:rsidRPr="007C0895"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1194" w:type="dxa"/>
            <w:hideMark/>
          </w:tcPr>
          <w:p w14:paraId="285ED47C"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0.78</w:t>
            </w:r>
          </w:p>
        </w:tc>
        <w:tc>
          <w:tcPr>
            <w:tcW w:w="1357" w:type="dxa"/>
            <w:hideMark/>
          </w:tcPr>
          <w:p w14:paraId="590A64F3"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$31-$41</w:t>
            </w:r>
          </w:p>
        </w:tc>
        <w:tc>
          <w:tcPr>
            <w:tcW w:w="1224" w:type="dxa"/>
            <w:hideMark/>
          </w:tcPr>
          <w:p w14:paraId="7ECF9830" w14:textId="77777777" w:rsidR="00943820" w:rsidRPr="00B531EE"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531EE">
              <w:rPr>
                <w:rFonts w:asciiTheme="minorHAnsi" w:hAnsiTheme="minorHAnsi"/>
                <w:szCs w:val="22"/>
              </w:rPr>
              <w:t>$39</w:t>
            </w:r>
          </w:p>
        </w:tc>
        <w:tc>
          <w:tcPr>
            <w:tcW w:w="1476" w:type="dxa"/>
            <w:hideMark/>
          </w:tcPr>
          <w:p w14:paraId="7D0E6870"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22.2%</w:t>
            </w:r>
          </w:p>
        </w:tc>
      </w:tr>
      <w:tr w:rsidR="00943820" w:rsidRPr="007C0895" w14:paraId="14366D48" w14:textId="77777777" w:rsidTr="00B752BF">
        <w:tc>
          <w:tcPr>
            <w:cnfStyle w:val="001000000000" w:firstRow="0" w:lastRow="0" w:firstColumn="1" w:lastColumn="0" w:oddVBand="0" w:evenVBand="0" w:oddHBand="0" w:evenHBand="0" w:firstRowFirstColumn="0" w:firstRowLastColumn="0" w:lastRowFirstColumn="0" w:lastRowLastColumn="0"/>
            <w:tcW w:w="0" w:type="auto"/>
            <w:hideMark/>
          </w:tcPr>
          <w:p w14:paraId="4B1BD456" w14:textId="77777777" w:rsidR="00943820" w:rsidRPr="007C0895" w:rsidRDefault="00943820" w:rsidP="0066444C">
            <w:pPr>
              <w:pStyle w:val="p1"/>
              <w:rPr>
                <w:rFonts w:asciiTheme="minorHAnsi" w:hAnsiTheme="minorHAnsi"/>
                <w:szCs w:val="22"/>
              </w:rPr>
            </w:pPr>
            <w:r>
              <w:rPr>
                <w:rFonts w:asciiTheme="minorHAnsi" w:hAnsiTheme="minorHAnsi"/>
                <w:szCs w:val="22"/>
              </w:rPr>
              <w:t>6</w:t>
            </w:r>
          </w:p>
        </w:tc>
        <w:tc>
          <w:tcPr>
            <w:tcW w:w="0" w:type="auto"/>
            <w:hideMark/>
          </w:tcPr>
          <w:p w14:paraId="05ADB253"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PLD</w:t>
            </w:r>
            <w:r w:rsidRPr="001A7119">
              <w:rPr>
                <w:rFonts w:asciiTheme="minorHAnsi" w:hAnsiTheme="minorHAnsi"/>
                <w:szCs w:val="22"/>
                <w:vertAlign w:val="superscript"/>
              </w:rPr>
              <w:t>3</w:t>
            </w:r>
            <w:r>
              <w:rPr>
                <w:rFonts w:asciiTheme="minorHAnsi" w:hAnsiTheme="minorHAnsi"/>
                <w:szCs w:val="22"/>
                <w:vertAlign w:val="superscript"/>
              </w:rPr>
              <w:t>,4</w:t>
            </w:r>
          </w:p>
        </w:tc>
        <w:tc>
          <w:tcPr>
            <w:tcW w:w="0" w:type="auto"/>
            <w:hideMark/>
          </w:tcPr>
          <w:p w14:paraId="739ECDC6" w14:textId="77777777" w:rsidR="00943820" w:rsidRPr="007C0895"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C0895">
              <w:rPr>
                <w:rFonts w:asciiTheme="minorHAnsi" w:hAnsiTheme="minorHAnsi"/>
                <w:szCs w:val="22"/>
              </w:rPr>
              <w:t>Prologis</w:t>
            </w:r>
          </w:p>
        </w:tc>
        <w:tc>
          <w:tcPr>
            <w:tcW w:w="1245" w:type="dxa"/>
            <w:hideMark/>
          </w:tcPr>
          <w:p w14:paraId="2E492AE7" w14:textId="77777777" w:rsidR="00943820" w:rsidRPr="007C0895"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194" w:type="dxa"/>
            <w:hideMark/>
          </w:tcPr>
          <w:p w14:paraId="47FFB111"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1357" w:type="dxa"/>
            <w:hideMark/>
          </w:tcPr>
          <w:p w14:paraId="3738A827"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$118-$155</w:t>
            </w:r>
          </w:p>
        </w:tc>
        <w:tc>
          <w:tcPr>
            <w:tcW w:w="1224" w:type="dxa"/>
            <w:shd w:val="clear" w:color="auto" w:fill="B3E5A1" w:themeFill="accent6" w:themeFillTint="66"/>
            <w:hideMark/>
          </w:tcPr>
          <w:p w14:paraId="1397A4E1" w14:textId="77777777" w:rsidR="00943820" w:rsidRPr="00B531EE"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531EE">
              <w:rPr>
                <w:rFonts w:asciiTheme="minorHAnsi" w:hAnsiTheme="minorHAnsi"/>
                <w:szCs w:val="22"/>
              </w:rPr>
              <w:t>$136</w:t>
            </w:r>
          </w:p>
        </w:tc>
        <w:tc>
          <w:tcPr>
            <w:tcW w:w="1476" w:type="dxa"/>
            <w:hideMark/>
          </w:tcPr>
          <w:p w14:paraId="3B9D14DE"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5.6%</w:t>
            </w:r>
          </w:p>
        </w:tc>
      </w:tr>
      <w:tr w:rsidR="00943820" w:rsidRPr="007C0895" w14:paraId="2F59A49B"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70B1476" w14:textId="77777777" w:rsidR="00943820" w:rsidRDefault="00943820" w:rsidP="0066444C">
            <w:pPr>
              <w:pStyle w:val="p1"/>
              <w:rPr>
                <w:rFonts w:asciiTheme="minorHAnsi" w:hAnsiTheme="minorHAnsi"/>
                <w:szCs w:val="22"/>
              </w:rPr>
            </w:pPr>
            <w:r>
              <w:rPr>
                <w:rFonts w:asciiTheme="minorHAnsi" w:hAnsiTheme="minorHAnsi"/>
                <w:szCs w:val="22"/>
              </w:rPr>
              <w:t>7</w:t>
            </w:r>
          </w:p>
        </w:tc>
        <w:tc>
          <w:tcPr>
            <w:tcW w:w="0" w:type="auto"/>
            <w:shd w:val="clear" w:color="auto" w:fill="B3E5A1" w:themeFill="accent6" w:themeFillTint="66"/>
          </w:tcPr>
          <w:p w14:paraId="4F1CBA46"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AMT</w:t>
            </w:r>
            <w:r w:rsidRPr="00D25168">
              <w:rPr>
                <w:rFonts w:asciiTheme="minorHAnsi" w:hAnsiTheme="minorHAnsi"/>
                <w:szCs w:val="22"/>
                <w:vertAlign w:val="superscript"/>
              </w:rPr>
              <w:t>3</w:t>
            </w:r>
          </w:p>
        </w:tc>
        <w:tc>
          <w:tcPr>
            <w:tcW w:w="0" w:type="auto"/>
          </w:tcPr>
          <w:p w14:paraId="1C22ED3E" w14:textId="77777777" w:rsidR="00943820"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American Tower</w:t>
            </w:r>
          </w:p>
        </w:tc>
        <w:tc>
          <w:tcPr>
            <w:tcW w:w="1245" w:type="dxa"/>
          </w:tcPr>
          <w:p w14:paraId="02F426E3" w14:textId="77777777" w:rsidR="00943820"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194" w:type="dxa"/>
          </w:tcPr>
          <w:p w14:paraId="6B849141" w14:textId="77777777" w:rsidR="00943820"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1357" w:type="dxa"/>
          </w:tcPr>
          <w:p w14:paraId="57C54CB2" w14:textId="77777777" w:rsidR="00943820"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$200-$260</w:t>
            </w:r>
          </w:p>
        </w:tc>
        <w:tc>
          <w:tcPr>
            <w:tcW w:w="1224" w:type="dxa"/>
          </w:tcPr>
          <w:p w14:paraId="471C3097" w14:textId="77777777" w:rsidR="00943820" w:rsidRPr="00B531EE"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531EE">
              <w:rPr>
                <w:rFonts w:asciiTheme="minorHAnsi" w:hAnsiTheme="minorHAnsi"/>
                <w:szCs w:val="22"/>
              </w:rPr>
              <w:t>$231</w:t>
            </w:r>
          </w:p>
        </w:tc>
        <w:tc>
          <w:tcPr>
            <w:tcW w:w="1476" w:type="dxa"/>
          </w:tcPr>
          <w:p w14:paraId="1F80E839" w14:textId="77777777" w:rsidR="00943820"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32.2%</w:t>
            </w:r>
          </w:p>
        </w:tc>
      </w:tr>
      <w:tr w:rsidR="00943820" w:rsidRPr="007C0895" w14:paraId="315C0AA5" w14:textId="77777777" w:rsidTr="00B752BF">
        <w:tc>
          <w:tcPr>
            <w:cnfStyle w:val="001000000000" w:firstRow="0" w:lastRow="0" w:firstColumn="1" w:lastColumn="0" w:oddVBand="0" w:evenVBand="0" w:oddHBand="0" w:evenHBand="0" w:firstRowFirstColumn="0" w:firstRowLastColumn="0" w:lastRowFirstColumn="0" w:lastRowLastColumn="0"/>
            <w:tcW w:w="0" w:type="auto"/>
            <w:hideMark/>
          </w:tcPr>
          <w:p w14:paraId="1D0C963E" w14:textId="77777777" w:rsidR="00943820" w:rsidRPr="007C0895" w:rsidRDefault="00943820" w:rsidP="0066444C">
            <w:pPr>
              <w:pStyle w:val="p1"/>
              <w:rPr>
                <w:rFonts w:asciiTheme="minorHAnsi" w:hAnsiTheme="minorHAnsi"/>
                <w:szCs w:val="22"/>
              </w:rPr>
            </w:pPr>
            <w:r>
              <w:rPr>
                <w:rFonts w:asciiTheme="minorHAnsi" w:hAnsiTheme="minorHAnsi"/>
                <w:szCs w:val="22"/>
              </w:rPr>
              <w:t>8</w:t>
            </w:r>
          </w:p>
        </w:tc>
        <w:tc>
          <w:tcPr>
            <w:tcW w:w="0" w:type="auto"/>
            <w:hideMark/>
          </w:tcPr>
          <w:p w14:paraId="06EC8A64"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WELL</w:t>
            </w:r>
            <w:r w:rsidRPr="00B531EE">
              <w:rPr>
                <w:rFonts w:asciiTheme="minorHAnsi" w:hAnsiTheme="minorHAnsi"/>
                <w:szCs w:val="22"/>
                <w:vertAlign w:val="superscript"/>
              </w:rPr>
              <w:t>4</w:t>
            </w:r>
          </w:p>
        </w:tc>
        <w:tc>
          <w:tcPr>
            <w:tcW w:w="0" w:type="auto"/>
            <w:hideMark/>
          </w:tcPr>
          <w:p w14:paraId="3B85C4D8" w14:textId="77777777" w:rsidR="00943820" w:rsidRPr="007C0895"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C0895">
              <w:rPr>
                <w:rFonts w:asciiTheme="minorHAnsi" w:hAnsiTheme="minorHAnsi"/>
                <w:szCs w:val="22"/>
              </w:rPr>
              <w:t>Welltower</w:t>
            </w:r>
          </w:p>
        </w:tc>
        <w:tc>
          <w:tcPr>
            <w:tcW w:w="1245" w:type="dxa"/>
            <w:hideMark/>
          </w:tcPr>
          <w:p w14:paraId="15DD53E2" w14:textId="77777777" w:rsidR="00943820" w:rsidRPr="007C0895"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C0895">
              <w:rPr>
                <w:rFonts w:asciiTheme="minorHAnsi" w:hAnsiTheme="minorHAnsi"/>
                <w:szCs w:val="22"/>
              </w:rPr>
              <w:t>N</w:t>
            </w:r>
          </w:p>
        </w:tc>
        <w:tc>
          <w:tcPr>
            <w:tcW w:w="1194" w:type="dxa"/>
            <w:hideMark/>
          </w:tcPr>
          <w:p w14:paraId="66E7CE87"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1357" w:type="dxa"/>
            <w:hideMark/>
          </w:tcPr>
          <w:p w14:paraId="65EB118B"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$182-$232</w:t>
            </w:r>
          </w:p>
        </w:tc>
        <w:tc>
          <w:tcPr>
            <w:tcW w:w="1224" w:type="dxa"/>
            <w:shd w:val="clear" w:color="auto" w:fill="B3E5A1" w:themeFill="accent6" w:themeFillTint="66"/>
            <w:hideMark/>
          </w:tcPr>
          <w:p w14:paraId="060CEF0C" w14:textId="77777777" w:rsidR="00943820" w:rsidRPr="00B531EE"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531EE">
              <w:rPr>
                <w:rFonts w:asciiTheme="minorHAnsi" w:hAnsiTheme="minorHAnsi"/>
                <w:szCs w:val="22"/>
              </w:rPr>
              <w:t>$206</w:t>
            </w:r>
          </w:p>
        </w:tc>
        <w:tc>
          <w:tcPr>
            <w:tcW w:w="1476" w:type="dxa"/>
            <w:hideMark/>
          </w:tcPr>
          <w:p w14:paraId="393B41E7" w14:textId="77777777" w:rsidR="00943820" w:rsidRPr="007C0895"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10.2%</w:t>
            </w:r>
          </w:p>
        </w:tc>
      </w:tr>
      <w:tr w:rsidR="00943820" w:rsidRPr="007C0895" w14:paraId="3354D339" w14:textId="77777777" w:rsidTr="00B752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11199C" w14:textId="77777777" w:rsidR="00943820" w:rsidRPr="007C0895" w:rsidRDefault="00943820" w:rsidP="0066444C">
            <w:pPr>
              <w:pStyle w:val="p1"/>
              <w:rPr>
                <w:rFonts w:asciiTheme="minorHAnsi" w:hAnsiTheme="minorHAnsi"/>
                <w:szCs w:val="22"/>
              </w:rPr>
            </w:pPr>
            <w:r>
              <w:rPr>
                <w:rFonts w:asciiTheme="minorHAnsi" w:hAnsiTheme="minorHAnsi"/>
                <w:szCs w:val="22"/>
              </w:rPr>
              <w:t>9</w:t>
            </w:r>
          </w:p>
        </w:tc>
        <w:tc>
          <w:tcPr>
            <w:tcW w:w="0" w:type="auto"/>
            <w:shd w:val="clear" w:color="auto" w:fill="B3E5A1" w:themeFill="accent6" w:themeFillTint="66"/>
            <w:hideMark/>
          </w:tcPr>
          <w:p w14:paraId="32103BF5"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EQR</w:t>
            </w:r>
            <w:r w:rsidRPr="001A7119">
              <w:rPr>
                <w:rFonts w:asciiTheme="minorHAnsi" w:hAnsiTheme="minorHAnsi"/>
                <w:szCs w:val="22"/>
                <w:vertAlign w:val="superscript"/>
              </w:rPr>
              <w:t>3</w:t>
            </w:r>
          </w:p>
        </w:tc>
        <w:tc>
          <w:tcPr>
            <w:tcW w:w="0" w:type="auto"/>
            <w:hideMark/>
          </w:tcPr>
          <w:p w14:paraId="33D8E804" w14:textId="77777777" w:rsidR="00943820" w:rsidRPr="007C0895"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C0895">
              <w:rPr>
                <w:rFonts w:asciiTheme="minorHAnsi" w:hAnsiTheme="minorHAnsi"/>
                <w:szCs w:val="22"/>
              </w:rPr>
              <w:t>Equity Residential</w:t>
            </w:r>
          </w:p>
        </w:tc>
        <w:tc>
          <w:tcPr>
            <w:tcW w:w="1245" w:type="dxa"/>
            <w:hideMark/>
          </w:tcPr>
          <w:p w14:paraId="2349BC45" w14:textId="77777777" w:rsidR="00943820" w:rsidRPr="007C0895"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194" w:type="dxa"/>
            <w:hideMark/>
          </w:tcPr>
          <w:p w14:paraId="5EC85C3C"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0.82</w:t>
            </w:r>
          </w:p>
        </w:tc>
        <w:tc>
          <w:tcPr>
            <w:tcW w:w="1357" w:type="dxa"/>
            <w:hideMark/>
          </w:tcPr>
          <w:p w14:paraId="47875A57"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$61-$80</w:t>
            </w:r>
          </w:p>
        </w:tc>
        <w:tc>
          <w:tcPr>
            <w:tcW w:w="1224" w:type="dxa"/>
            <w:hideMark/>
          </w:tcPr>
          <w:p w14:paraId="2EA18EB4" w14:textId="77777777" w:rsidR="00943820" w:rsidRPr="00B531EE"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531EE">
              <w:rPr>
                <w:rFonts w:asciiTheme="minorHAnsi" w:hAnsiTheme="minorHAnsi"/>
                <w:szCs w:val="22"/>
              </w:rPr>
              <w:t>$73</w:t>
            </w:r>
          </w:p>
        </w:tc>
        <w:tc>
          <w:tcPr>
            <w:tcW w:w="1476" w:type="dxa"/>
            <w:hideMark/>
          </w:tcPr>
          <w:p w14:paraId="06EC53BB" w14:textId="77777777" w:rsidR="00943820" w:rsidRPr="007C0895"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17.7%</w:t>
            </w:r>
          </w:p>
        </w:tc>
      </w:tr>
      <w:tr w:rsidR="00943820" w:rsidRPr="007C0895" w14:paraId="50F4AC46" w14:textId="77777777" w:rsidTr="00B752BF">
        <w:tc>
          <w:tcPr>
            <w:cnfStyle w:val="001000000000" w:firstRow="0" w:lastRow="0" w:firstColumn="1" w:lastColumn="0" w:oddVBand="0" w:evenVBand="0" w:oddHBand="0" w:evenHBand="0" w:firstRowFirstColumn="0" w:firstRowLastColumn="0" w:lastRowFirstColumn="0" w:lastRowLastColumn="0"/>
            <w:tcW w:w="0" w:type="auto"/>
          </w:tcPr>
          <w:p w14:paraId="58380494" w14:textId="77777777" w:rsidR="00943820" w:rsidRDefault="00943820" w:rsidP="0066444C">
            <w:pPr>
              <w:pStyle w:val="p1"/>
              <w:rPr>
                <w:rFonts w:asciiTheme="minorHAnsi" w:hAnsiTheme="minorHAnsi"/>
                <w:szCs w:val="22"/>
              </w:rPr>
            </w:pPr>
            <w:r>
              <w:rPr>
                <w:rFonts w:asciiTheme="minorHAnsi" w:hAnsiTheme="minorHAnsi"/>
                <w:szCs w:val="22"/>
              </w:rPr>
              <w:t>10</w:t>
            </w:r>
          </w:p>
        </w:tc>
        <w:tc>
          <w:tcPr>
            <w:tcW w:w="0" w:type="auto"/>
            <w:shd w:val="clear" w:color="auto" w:fill="B3E5A1" w:themeFill="accent6" w:themeFillTint="66"/>
          </w:tcPr>
          <w:p w14:paraId="7814778E"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CBRE</w:t>
            </w:r>
          </w:p>
        </w:tc>
        <w:tc>
          <w:tcPr>
            <w:tcW w:w="0" w:type="auto"/>
          </w:tcPr>
          <w:p w14:paraId="443B81F7" w14:textId="77777777" w:rsidR="00943820" w:rsidRPr="007C0895"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CBRE Group</w:t>
            </w:r>
          </w:p>
        </w:tc>
        <w:tc>
          <w:tcPr>
            <w:tcW w:w="1245" w:type="dxa"/>
          </w:tcPr>
          <w:p w14:paraId="39F5B27A" w14:textId="77777777" w:rsidR="00943820"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1194" w:type="dxa"/>
          </w:tcPr>
          <w:p w14:paraId="21CCD2AE"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0.82</w:t>
            </w:r>
          </w:p>
        </w:tc>
        <w:tc>
          <w:tcPr>
            <w:tcW w:w="1357" w:type="dxa"/>
          </w:tcPr>
          <w:p w14:paraId="49BB2751"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$175-$190</w:t>
            </w:r>
          </w:p>
        </w:tc>
        <w:tc>
          <w:tcPr>
            <w:tcW w:w="1224" w:type="dxa"/>
          </w:tcPr>
          <w:p w14:paraId="2BE01A8E"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$184</w:t>
            </w:r>
          </w:p>
        </w:tc>
        <w:tc>
          <w:tcPr>
            <w:tcW w:w="1476" w:type="dxa"/>
          </w:tcPr>
          <w:p w14:paraId="4F67820A"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14.7%</w:t>
            </w:r>
          </w:p>
        </w:tc>
      </w:tr>
    </w:tbl>
    <w:p w14:paraId="5581CFD2" w14:textId="77777777" w:rsidR="00943820" w:rsidRPr="005C3B4E" w:rsidRDefault="00943820" w:rsidP="00943820">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700E95AF" w14:textId="77777777" w:rsidR="00943820" w:rsidRDefault="00943820" w:rsidP="00943820">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7A915813" w14:textId="77777777" w:rsidR="00943820" w:rsidRDefault="00943820" w:rsidP="00943820">
      <w:pPr>
        <w:pStyle w:val="p1"/>
        <w:rPr>
          <w:sz w:val="20"/>
          <w:szCs w:val="20"/>
        </w:rPr>
      </w:pPr>
      <w:r w:rsidRPr="00B00B77">
        <w:rPr>
          <w:sz w:val="20"/>
          <w:szCs w:val="20"/>
          <w:vertAlign w:val="superscript"/>
        </w:rPr>
        <w:t>3</w:t>
      </w:r>
      <w:r>
        <w:rPr>
          <w:sz w:val="20"/>
          <w:szCs w:val="20"/>
        </w:rPr>
        <w:t xml:space="preserve"> Company has notable dividend component.</w:t>
      </w:r>
    </w:p>
    <w:p w14:paraId="34ECDAB2" w14:textId="77777777" w:rsidR="00943820" w:rsidRDefault="00943820" w:rsidP="00943820">
      <w:pPr>
        <w:pStyle w:val="p1"/>
        <w:rPr>
          <w:sz w:val="20"/>
          <w:szCs w:val="20"/>
        </w:rPr>
      </w:pPr>
      <w:r w:rsidRPr="00B531EE">
        <w:rPr>
          <w:sz w:val="20"/>
          <w:szCs w:val="20"/>
          <w:vertAlign w:val="superscript"/>
        </w:rPr>
        <w:t>4</w:t>
      </w:r>
      <w:r>
        <w:rPr>
          <w:sz w:val="20"/>
          <w:szCs w:val="20"/>
        </w:rPr>
        <w:t xml:space="preserve"> Price rose too quickly to buy.</w:t>
      </w:r>
    </w:p>
    <w:p w14:paraId="7D8EBA00" w14:textId="77777777" w:rsidR="00943820" w:rsidRPr="00132DFD" w:rsidRDefault="00943820" w:rsidP="00943820">
      <w:pPr>
        <w:pStyle w:val="p1"/>
        <w:rPr>
          <w:sz w:val="20"/>
          <w:szCs w:val="20"/>
        </w:rPr>
      </w:pPr>
      <w:r>
        <w:rPr>
          <w:sz w:val="20"/>
          <w:szCs w:val="20"/>
        </w:rPr>
        <w:t>Note: Tickers highlighted green were selected.  1-Year targets highlighted green indicate targets were achieved.</w:t>
      </w:r>
    </w:p>
    <w:p w14:paraId="67827BF2" w14:textId="77777777" w:rsidR="00943820" w:rsidRDefault="00943820" w:rsidP="00943820">
      <w:pPr>
        <w:rPr>
          <w:b/>
          <w:bCs/>
          <w:sz w:val="28"/>
          <w:szCs w:val="28"/>
        </w:rPr>
      </w:pPr>
      <w:r>
        <w:rPr>
          <w:b/>
          <w:bCs/>
          <w:sz w:val="28"/>
          <w:szCs w:val="28"/>
        </w:rPr>
        <w:br w:type="page"/>
      </w:r>
    </w:p>
    <w:p w14:paraId="13D9ECFA" w14:textId="77777777" w:rsidR="00943820" w:rsidRPr="00F216B7" w:rsidRDefault="00943820" w:rsidP="00943820">
      <w:pPr>
        <w:pStyle w:val="Heading3"/>
      </w:pPr>
      <w:r w:rsidRPr="00F216B7">
        <w:lastRenderedPageBreak/>
        <w:t>Financial Sector Outlook:</w:t>
      </w:r>
    </w:p>
    <w:p w14:paraId="2A64E22D" w14:textId="77777777" w:rsidR="00943820" w:rsidRDefault="00943820" w:rsidP="00943820">
      <w:pPr>
        <w:pStyle w:val="p1"/>
      </w:pPr>
      <w:r>
        <w:t xml:space="preserve">In 2026, the financial sector operates from a stronger starting point than early 2025—helped by disinflation, improving (but not pristine) credit conditions, and a cautious, stop-start Fed easing cycle that supports risk appetite and capital-markets activity. The regime is not a clean “easy money” reset: elevated federal debt and heavy Treasury issuance keep term premia and long-end yields structurally higher than the 2010s, so volatility and liquidity sensitivity remain core features even as policy rates drift lower. That backdrop favors scale and balance-sheet quality. </w:t>
      </w:r>
      <w:proofErr w:type="gramStart"/>
      <w:r>
        <w:t>Large diversified</w:t>
      </w:r>
      <w:proofErr w:type="gramEnd"/>
      <w:r>
        <w:t xml:space="preserve"> banks and fee-heavy franchises benefit most as IPO/M&amp;A/advisory pipelines broaden and wealth/asset-management inflows improve with market stabilization; payments platforms continue to compound on the back of nominal spending and digital share gains, with AI-enabled fraud detection and personalization improving unit economics for the winners.</w:t>
      </w:r>
    </w:p>
    <w:p w14:paraId="7B45AA64" w14:textId="77777777" w:rsidR="00943820" w:rsidRDefault="00943820" w:rsidP="00943820">
      <w:pPr>
        <w:pStyle w:val="p1"/>
      </w:pPr>
      <w:r>
        <w:t xml:space="preserve">The sector’s defining split in 2026 is </w:t>
      </w:r>
      <w:r>
        <w:rPr>
          <w:rStyle w:val="s1"/>
          <w:rFonts w:eastAsiaTheme="majorEastAsia"/>
          <w:b/>
          <w:bCs/>
        </w:rPr>
        <w:t>dispersion</w:t>
      </w:r>
      <w:r>
        <w:t>—driven by (1) net-interest-margin pressure and funding cost differences as rates fall, (2) rapid technology adoption, and (3) the persistence of the commercial real estate (CRE) credit cycle. As policy rates ease, many banks see margin compression, but outcomes diverge sharply: institutions with durable, low-beta deposits and diversified fee income hold up far better than funding-sensitive lenders. CRE—especially older office—remains a multi-year drag rather than a one-quarter event; refinancing gaps and elevated cap rates extend the stress and keep provisioning and supervisory scrutiny elevated, concentrating risk in CRE-heavy regionals and accelerating consolidation and selective interventions without necessarily tipping into a system-wide crisis. At the same time, financials undergo a deep internal re-platforming: generative AI operationalizes across underwriting, collections, compliance/surveillance, and customer service, while tokenization and faster settlement move from pilots toward real plumbing upgrades in wholesale finance (collateral mobility, intraday liquidity, and operational efficiency). The tradeoff is that the system becomes more capital-efficient—but also faster-transmitting—raising the premium on cyber resilience, model risk governance, and regulatory credibility.</w:t>
      </w:r>
    </w:p>
    <w:p w14:paraId="3AA6BA8F" w14:textId="77777777" w:rsidR="00943820" w:rsidRDefault="00943820" w:rsidP="00943820">
      <w:pPr>
        <w:pStyle w:val="p1"/>
      </w:pPr>
      <w:r>
        <w:t xml:space="preserve">Insurers enter 2026 with the benefit of still-healthy reinvestment rates versus the pre-2020 era, but underwriting discipline is increasingly decisive as climate-driven catastrophe volatility and litigation costs pressure results; “investment income” helps, but it doesn’t excuse poor risk selection. By year-end, the sector is best described as </w:t>
      </w:r>
      <w:r>
        <w:rPr>
          <w:rStyle w:val="s1"/>
          <w:rFonts w:eastAsiaTheme="majorEastAsia"/>
          <w:b/>
          <w:bCs/>
        </w:rPr>
        <w:t>resilient but bifurcated</w:t>
      </w:r>
      <w:r>
        <w:t>: the clearest winners are scaled universal banks, high-quality wealth/asset managers, and dominant payments networks (plus a narrower set of fintechs with compliance maturity and durable economics). The laggards are institutions with concentrated CRE exposure, weak funding profiles, or fragile operational/cyber posture—because in a debt-constrained, higher-volatility macro regime, finance is less about beta and more about balance-sheet structure, liquidity management, and execution in a faster, more automated financial system.</w:t>
      </w:r>
    </w:p>
    <w:p w14:paraId="294FDFEF" w14:textId="77777777" w:rsidR="00943820" w:rsidRDefault="00943820" w:rsidP="00943820">
      <w:pPr>
        <w:pStyle w:val="p3"/>
        <w:rPr>
          <w:b/>
          <w:bCs/>
        </w:rPr>
      </w:pPr>
    </w:p>
    <w:p w14:paraId="784EA172" w14:textId="77777777" w:rsidR="00943820" w:rsidRDefault="00943820" w:rsidP="00943820">
      <w:pPr>
        <w:pStyle w:val="p3"/>
        <w:rPr>
          <w:b/>
          <w:bCs/>
        </w:rPr>
      </w:pPr>
    </w:p>
    <w:p w14:paraId="7B949982" w14:textId="77777777" w:rsidR="00943820" w:rsidRDefault="00943820" w:rsidP="00943820">
      <w:pPr>
        <w:pStyle w:val="p3"/>
        <w:rPr>
          <w:b/>
          <w:bCs/>
        </w:rPr>
      </w:pPr>
    </w:p>
    <w:p w14:paraId="0ED1FD40" w14:textId="77777777" w:rsidR="00943820" w:rsidRPr="00E5349B" w:rsidRDefault="00943820" w:rsidP="00943820">
      <w:pPr>
        <w:pStyle w:val="p3"/>
      </w:pPr>
      <w:r>
        <w:rPr>
          <w:b/>
          <w:bCs/>
        </w:rPr>
        <w:t>Top Financial companies positioned for 2026 (including initial portfolio weights):</w:t>
      </w:r>
    </w:p>
    <w:tbl>
      <w:tblPr>
        <w:tblStyle w:val="ListTable4-Accent4"/>
        <w:tblW w:w="0" w:type="auto"/>
        <w:tblLook w:val="04A0" w:firstRow="1" w:lastRow="0" w:firstColumn="1" w:lastColumn="0" w:noHBand="0" w:noVBand="1"/>
      </w:tblPr>
      <w:tblGrid>
        <w:gridCol w:w="743"/>
        <w:gridCol w:w="803"/>
        <w:gridCol w:w="2406"/>
        <w:gridCol w:w="1331"/>
        <w:gridCol w:w="1166"/>
        <w:gridCol w:w="1520"/>
        <w:gridCol w:w="843"/>
        <w:gridCol w:w="898"/>
      </w:tblGrid>
      <w:tr w:rsidR="00943820" w:rsidRPr="007D66B6" w14:paraId="663C167A"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8ED3ED1" w14:textId="77777777" w:rsidR="00943820" w:rsidRPr="007D66B6" w:rsidRDefault="00943820" w:rsidP="0066444C">
            <w:pPr>
              <w:pStyle w:val="p1"/>
              <w:jc w:val="center"/>
              <w:rPr>
                <w:rFonts w:asciiTheme="minorHAnsi" w:hAnsiTheme="minorHAnsi"/>
                <w:sz w:val="21"/>
                <w:szCs w:val="21"/>
              </w:rPr>
            </w:pPr>
            <w:r w:rsidRPr="00343448">
              <w:rPr>
                <w:rFonts w:asciiTheme="minorHAnsi" w:hAnsiTheme="minorHAnsi"/>
                <w:b w:val="0"/>
                <w:bCs w:val="0"/>
                <w:sz w:val="21"/>
                <w:szCs w:val="21"/>
              </w:rPr>
              <w:t>Rank</w:t>
            </w:r>
            <w:r w:rsidRPr="00EE7037">
              <w:rPr>
                <w:rFonts w:asciiTheme="minorHAnsi" w:hAnsiTheme="minorHAnsi"/>
                <w:b w:val="0"/>
                <w:bCs w:val="0"/>
                <w:sz w:val="21"/>
                <w:szCs w:val="21"/>
                <w:vertAlign w:val="superscript"/>
              </w:rPr>
              <w:t>1</w:t>
            </w:r>
          </w:p>
        </w:tc>
        <w:tc>
          <w:tcPr>
            <w:tcW w:w="0" w:type="auto"/>
            <w:hideMark/>
          </w:tcPr>
          <w:p w14:paraId="308FA51A"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343448">
              <w:rPr>
                <w:rFonts w:asciiTheme="minorHAnsi" w:hAnsiTheme="minorHAnsi"/>
                <w:b w:val="0"/>
                <w:bCs w:val="0"/>
                <w:sz w:val="21"/>
                <w:szCs w:val="21"/>
              </w:rPr>
              <w:t>Ticker</w:t>
            </w:r>
          </w:p>
        </w:tc>
        <w:tc>
          <w:tcPr>
            <w:tcW w:w="0" w:type="auto"/>
            <w:hideMark/>
          </w:tcPr>
          <w:p w14:paraId="11BDB3BC"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343448">
              <w:rPr>
                <w:rFonts w:asciiTheme="minorHAnsi" w:hAnsiTheme="minorHAnsi"/>
                <w:b w:val="0"/>
                <w:bCs w:val="0"/>
                <w:sz w:val="21"/>
                <w:szCs w:val="21"/>
              </w:rPr>
              <w:t>Company</w:t>
            </w:r>
          </w:p>
        </w:tc>
        <w:tc>
          <w:tcPr>
            <w:tcW w:w="0" w:type="auto"/>
            <w:hideMark/>
          </w:tcPr>
          <w:p w14:paraId="35A4EC3E"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743573">
              <w:rPr>
                <w:rFonts w:asciiTheme="minorHAnsi" w:hAnsiTheme="minorHAnsi"/>
                <w:b w:val="0"/>
                <w:bCs w:val="0"/>
                <w:szCs w:val="22"/>
              </w:rPr>
              <w:t xml:space="preserve">Top 5 Total </w:t>
            </w:r>
            <w:proofErr w:type="spellStart"/>
            <w:r w:rsidRPr="00743573">
              <w:rPr>
                <w:rFonts w:asciiTheme="minorHAnsi" w:hAnsiTheme="minorHAnsi"/>
                <w:b w:val="0"/>
                <w:bCs w:val="0"/>
                <w:szCs w:val="22"/>
              </w:rPr>
              <w:t>Rtn</w:t>
            </w:r>
            <w:proofErr w:type="spellEnd"/>
          </w:p>
        </w:tc>
        <w:tc>
          <w:tcPr>
            <w:tcW w:w="0" w:type="auto"/>
            <w:hideMark/>
          </w:tcPr>
          <w:p w14:paraId="1307E22A"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307C1E5B"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sidRPr="00B35BE4">
              <w:rPr>
                <w:rFonts w:asciiTheme="minorHAnsi" w:hAnsiTheme="minorHAnsi"/>
                <w:b w:val="0"/>
                <w:bCs w:val="0"/>
                <w:sz w:val="20"/>
                <w:szCs w:val="20"/>
              </w:rPr>
              <w:t xml:space="preserve">Analyst 1-yr </w:t>
            </w:r>
            <w:r>
              <w:rPr>
                <w:rFonts w:asciiTheme="minorHAnsi" w:hAnsiTheme="minorHAnsi"/>
                <w:b w:val="0"/>
                <w:bCs w:val="0"/>
                <w:sz w:val="20"/>
                <w:szCs w:val="20"/>
              </w:rPr>
              <w:t>T</w:t>
            </w:r>
            <w:r w:rsidRPr="00B35BE4">
              <w:rPr>
                <w:rFonts w:asciiTheme="minorHAnsi" w:hAnsiTheme="minorHAnsi"/>
                <w:b w:val="0"/>
                <w:bCs w:val="0"/>
                <w:sz w:val="20"/>
                <w:szCs w:val="20"/>
              </w:rPr>
              <w:t>arget</w:t>
            </w:r>
          </w:p>
        </w:tc>
        <w:tc>
          <w:tcPr>
            <w:tcW w:w="0" w:type="auto"/>
            <w:hideMark/>
          </w:tcPr>
          <w:p w14:paraId="24A54C45"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 xml:space="preserve">1-yr </w:t>
            </w:r>
            <w:proofErr w:type="spellStart"/>
            <w:r>
              <w:rPr>
                <w:rFonts w:asciiTheme="minorHAnsi" w:hAnsiTheme="minorHAnsi"/>
                <w:b w:val="0"/>
                <w:bCs w:val="0"/>
                <w:sz w:val="20"/>
                <w:szCs w:val="20"/>
              </w:rPr>
              <w:t>T</w:t>
            </w:r>
            <w:r w:rsidRPr="00B35BE4">
              <w:rPr>
                <w:rFonts w:asciiTheme="minorHAnsi" w:hAnsiTheme="minorHAnsi"/>
                <w:b w:val="0"/>
                <w:bCs w:val="0"/>
                <w:sz w:val="20"/>
                <w:szCs w:val="20"/>
              </w:rPr>
              <w:t>gt</w:t>
            </w:r>
            <w:proofErr w:type="spellEnd"/>
          </w:p>
        </w:tc>
        <w:tc>
          <w:tcPr>
            <w:tcW w:w="0" w:type="auto"/>
            <w:hideMark/>
          </w:tcPr>
          <w:p w14:paraId="746BCA48" w14:textId="77777777" w:rsidR="00943820" w:rsidRPr="007D66B6" w:rsidRDefault="00943820"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1"/>
                <w:szCs w:val="21"/>
              </w:rPr>
            </w:pPr>
            <w:r>
              <w:rPr>
                <w:rFonts w:asciiTheme="minorHAnsi" w:hAnsiTheme="minorHAnsi"/>
                <w:b w:val="0"/>
                <w:bCs w:val="0"/>
                <w:sz w:val="20"/>
                <w:szCs w:val="20"/>
              </w:rPr>
              <w:t>1-Yr</w:t>
            </w:r>
            <w:r w:rsidRPr="00B35BE4">
              <w:rPr>
                <w:rFonts w:asciiTheme="minorHAnsi" w:hAnsiTheme="minorHAnsi"/>
                <w:b w:val="0"/>
                <w:bCs w:val="0"/>
                <w:sz w:val="20"/>
                <w:szCs w:val="20"/>
              </w:rPr>
              <w:t xml:space="preserve"> </w:t>
            </w:r>
            <w:proofErr w:type="spellStart"/>
            <w:r w:rsidRPr="00B35BE4">
              <w:rPr>
                <w:rFonts w:asciiTheme="minorHAnsi" w:hAnsiTheme="minorHAnsi"/>
                <w:b w:val="0"/>
                <w:bCs w:val="0"/>
                <w:sz w:val="20"/>
                <w:szCs w:val="20"/>
              </w:rPr>
              <w:t>Rtn</w:t>
            </w:r>
            <w:proofErr w:type="spellEnd"/>
            <w:r>
              <w:rPr>
                <w:rFonts w:asciiTheme="minorHAnsi" w:hAnsiTheme="minorHAnsi"/>
                <w:b w:val="0"/>
                <w:bCs w:val="0"/>
                <w:sz w:val="20"/>
                <w:szCs w:val="20"/>
              </w:rPr>
              <w:br/>
              <w:t>(Thesis)</w:t>
            </w:r>
          </w:p>
        </w:tc>
      </w:tr>
      <w:tr w:rsidR="00943820" w:rsidRPr="007D66B6" w14:paraId="2E724894"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373CEF" w14:textId="77777777" w:rsidR="00943820" w:rsidRPr="007D66B6" w:rsidRDefault="00943820" w:rsidP="0066444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hideMark/>
          </w:tcPr>
          <w:p w14:paraId="242964E8"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SPGI</w:t>
            </w:r>
          </w:p>
        </w:tc>
        <w:tc>
          <w:tcPr>
            <w:tcW w:w="0" w:type="auto"/>
            <w:hideMark/>
          </w:tcPr>
          <w:p w14:paraId="6310E814" w14:textId="77777777" w:rsidR="00943820" w:rsidRPr="007D66B6"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66B6">
              <w:rPr>
                <w:rFonts w:asciiTheme="minorHAnsi" w:hAnsiTheme="minorHAnsi"/>
                <w:szCs w:val="22"/>
              </w:rPr>
              <w:t>S&amp;P Global</w:t>
            </w:r>
          </w:p>
        </w:tc>
        <w:tc>
          <w:tcPr>
            <w:tcW w:w="0" w:type="auto"/>
            <w:hideMark/>
          </w:tcPr>
          <w:p w14:paraId="1AA43244" w14:textId="77777777" w:rsidR="00943820" w:rsidRPr="007D66B6"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28291CDE"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hideMark/>
          </w:tcPr>
          <w:p w14:paraId="4C453309"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$546-$675</w:t>
            </w:r>
          </w:p>
        </w:tc>
        <w:tc>
          <w:tcPr>
            <w:tcW w:w="0" w:type="auto"/>
            <w:hideMark/>
          </w:tcPr>
          <w:p w14:paraId="15C3B790"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$618</w:t>
            </w:r>
          </w:p>
        </w:tc>
        <w:tc>
          <w:tcPr>
            <w:tcW w:w="0" w:type="auto"/>
            <w:hideMark/>
          </w:tcPr>
          <w:p w14:paraId="1065DA3E"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20.5%</w:t>
            </w:r>
          </w:p>
        </w:tc>
      </w:tr>
      <w:tr w:rsidR="00943820" w:rsidRPr="007D66B6" w14:paraId="285ED0F8"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71571740" w14:textId="77777777" w:rsidR="00943820" w:rsidRPr="007D66B6" w:rsidRDefault="00943820" w:rsidP="0066444C">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hideMark/>
          </w:tcPr>
          <w:p w14:paraId="3523E903"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MA</w:t>
            </w:r>
          </w:p>
        </w:tc>
        <w:tc>
          <w:tcPr>
            <w:tcW w:w="0" w:type="auto"/>
            <w:hideMark/>
          </w:tcPr>
          <w:p w14:paraId="3DAEEE2F" w14:textId="77777777" w:rsidR="00943820" w:rsidRPr="007D66B6"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66B6">
              <w:rPr>
                <w:rFonts w:asciiTheme="minorHAnsi" w:hAnsiTheme="minorHAnsi"/>
                <w:szCs w:val="22"/>
              </w:rPr>
              <w:t>Mastercard</w:t>
            </w:r>
          </w:p>
        </w:tc>
        <w:tc>
          <w:tcPr>
            <w:tcW w:w="0" w:type="auto"/>
            <w:hideMark/>
          </w:tcPr>
          <w:p w14:paraId="7AF44F99" w14:textId="77777777" w:rsidR="00943820" w:rsidRPr="007D66B6"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66B6">
              <w:rPr>
                <w:rFonts w:asciiTheme="minorHAnsi" w:hAnsiTheme="minorHAnsi"/>
                <w:szCs w:val="22"/>
              </w:rPr>
              <w:t>Y</w:t>
            </w:r>
          </w:p>
        </w:tc>
        <w:tc>
          <w:tcPr>
            <w:tcW w:w="0" w:type="auto"/>
            <w:hideMark/>
          </w:tcPr>
          <w:p w14:paraId="099E8836"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hideMark/>
          </w:tcPr>
          <w:p w14:paraId="21DC3B30"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$607-$1088</w:t>
            </w:r>
          </w:p>
        </w:tc>
        <w:tc>
          <w:tcPr>
            <w:tcW w:w="0" w:type="auto"/>
            <w:hideMark/>
          </w:tcPr>
          <w:p w14:paraId="18D7636D"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$655</w:t>
            </w:r>
          </w:p>
        </w:tc>
        <w:tc>
          <w:tcPr>
            <w:tcW w:w="0" w:type="auto"/>
            <w:hideMark/>
          </w:tcPr>
          <w:p w14:paraId="1A0E0EE9"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16.3%</w:t>
            </w:r>
          </w:p>
        </w:tc>
      </w:tr>
      <w:tr w:rsidR="00943820" w:rsidRPr="003619C8" w14:paraId="487512B7"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8838924" w14:textId="77777777" w:rsidR="00943820" w:rsidRPr="003619C8" w:rsidRDefault="00943820" w:rsidP="0066444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tcPr>
          <w:p w14:paraId="49311C1E"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BLK</w:t>
            </w:r>
          </w:p>
        </w:tc>
        <w:tc>
          <w:tcPr>
            <w:tcW w:w="0" w:type="auto"/>
          </w:tcPr>
          <w:p w14:paraId="7C109644" w14:textId="77777777" w:rsidR="00943820"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BlackRock</w:t>
            </w:r>
          </w:p>
        </w:tc>
        <w:tc>
          <w:tcPr>
            <w:tcW w:w="0" w:type="auto"/>
          </w:tcPr>
          <w:p w14:paraId="2361BA12" w14:textId="77777777" w:rsidR="00943820" w:rsidRPr="003619C8"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772C18AE"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0.89</w:t>
            </w:r>
          </w:p>
        </w:tc>
        <w:tc>
          <w:tcPr>
            <w:tcW w:w="0" w:type="auto"/>
          </w:tcPr>
          <w:p w14:paraId="71BBCABC"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$1180-$1514</w:t>
            </w:r>
          </w:p>
        </w:tc>
        <w:tc>
          <w:tcPr>
            <w:tcW w:w="0" w:type="auto"/>
          </w:tcPr>
          <w:p w14:paraId="4C5D9458"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$1328</w:t>
            </w:r>
          </w:p>
        </w:tc>
        <w:tc>
          <w:tcPr>
            <w:tcW w:w="0" w:type="auto"/>
          </w:tcPr>
          <w:p w14:paraId="3D10CC29"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22.3%</w:t>
            </w:r>
          </w:p>
        </w:tc>
      </w:tr>
      <w:tr w:rsidR="00943820" w:rsidRPr="003619C8" w14:paraId="2CADDBCF" w14:textId="77777777" w:rsidTr="0066444C">
        <w:tc>
          <w:tcPr>
            <w:cnfStyle w:val="001000000000" w:firstRow="0" w:lastRow="0" w:firstColumn="1" w:lastColumn="0" w:oddVBand="0" w:evenVBand="0" w:oddHBand="0" w:evenHBand="0" w:firstRowFirstColumn="0" w:firstRowLastColumn="0" w:lastRowFirstColumn="0" w:lastRowLastColumn="0"/>
            <w:tcW w:w="0" w:type="auto"/>
          </w:tcPr>
          <w:p w14:paraId="4E5BDDCE" w14:textId="77777777" w:rsidR="00943820" w:rsidRDefault="00943820" w:rsidP="0066444C">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tcPr>
          <w:p w14:paraId="3559142F"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AJG</w:t>
            </w:r>
          </w:p>
        </w:tc>
        <w:tc>
          <w:tcPr>
            <w:tcW w:w="0" w:type="auto"/>
          </w:tcPr>
          <w:p w14:paraId="35681B94" w14:textId="77777777" w:rsidR="00943820"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Arthur J. Gallagher</w:t>
            </w:r>
          </w:p>
        </w:tc>
        <w:tc>
          <w:tcPr>
            <w:tcW w:w="0" w:type="auto"/>
          </w:tcPr>
          <w:p w14:paraId="75F6C1B2" w14:textId="77777777" w:rsidR="00943820"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1671CE11"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tcPr>
          <w:p w14:paraId="26FB1428"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$250-$334</w:t>
            </w:r>
          </w:p>
        </w:tc>
        <w:tc>
          <w:tcPr>
            <w:tcW w:w="0" w:type="auto"/>
          </w:tcPr>
          <w:p w14:paraId="0940FBEE"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$309</w:t>
            </w:r>
          </w:p>
        </w:tc>
        <w:tc>
          <w:tcPr>
            <w:tcW w:w="0" w:type="auto"/>
          </w:tcPr>
          <w:p w14:paraId="1D0D922F" w14:textId="77777777" w:rsidR="0094382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20.5%</w:t>
            </w:r>
          </w:p>
        </w:tc>
      </w:tr>
      <w:tr w:rsidR="00943820" w:rsidRPr="007D66B6" w14:paraId="1A843FB5" w14:textId="77777777" w:rsidTr="00B50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D659A9" w14:textId="77777777" w:rsidR="00943820" w:rsidRPr="007D66B6" w:rsidRDefault="00943820" w:rsidP="0066444C">
            <w:pPr>
              <w:pStyle w:val="p1"/>
              <w:rPr>
                <w:rFonts w:asciiTheme="minorHAnsi" w:hAnsiTheme="minorHAnsi"/>
                <w:b w:val="0"/>
                <w:bCs w:val="0"/>
                <w:szCs w:val="22"/>
              </w:rPr>
            </w:pPr>
            <w:r>
              <w:rPr>
                <w:rFonts w:asciiTheme="minorHAnsi" w:hAnsiTheme="minorHAnsi"/>
                <w:szCs w:val="22"/>
              </w:rPr>
              <w:t>5</w:t>
            </w:r>
          </w:p>
        </w:tc>
        <w:tc>
          <w:tcPr>
            <w:tcW w:w="0" w:type="auto"/>
            <w:shd w:val="clear" w:color="auto" w:fill="B3E5A1" w:themeFill="accent6" w:themeFillTint="66"/>
            <w:hideMark/>
          </w:tcPr>
          <w:p w14:paraId="4E3A6A7B"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ICE</w:t>
            </w:r>
          </w:p>
        </w:tc>
        <w:tc>
          <w:tcPr>
            <w:tcW w:w="0" w:type="auto"/>
            <w:hideMark/>
          </w:tcPr>
          <w:p w14:paraId="3213D277" w14:textId="77777777" w:rsidR="00943820" w:rsidRPr="007D66B6"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66B6">
              <w:rPr>
                <w:rFonts w:asciiTheme="minorHAnsi" w:hAnsiTheme="minorHAnsi"/>
                <w:szCs w:val="22"/>
              </w:rPr>
              <w:t>Intercontinental Exchange</w:t>
            </w:r>
          </w:p>
        </w:tc>
        <w:tc>
          <w:tcPr>
            <w:tcW w:w="0" w:type="auto"/>
            <w:hideMark/>
          </w:tcPr>
          <w:p w14:paraId="3D7DFAA5" w14:textId="77777777" w:rsidR="00943820" w:rsidRPr="007D66B6"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66B6">
              <w:rPr>
                <w:rFonts w:asciiTheme="minorHAnsi" w:hAnsiTheme="minorHAnsi"/>
                <w:szCs w:val="22"/>
              </w:rPr>
              <w:t>Y</w:t>
            </w:r>
          </w:p>
        </w:tc>
        <w:tc>
          <w:tcPr>
            <w:tcW w:w="0" w:type="auto"/>
            <w:hideMark/>
          </w:tcPr>
          <w:p w14:paraId="2505567F"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0.84</w:t>
            </w:r>
          </w:p>
        </w:tc>
        <w:tc>
          <w:tcPr>
            <w:tcW w:w="0" w:type="auto"/>
            <w:hideMark/>
          </w:tcPr>
          <w:p w14:paraId="58D415B6"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$174-$223</w:t>
            </w:r>
          </w:p>
        </w:tc>
        <w:tc>
          <w:tcPr>
            <w:tcW w:w="0" w:type="auto"/>
            <w:hideMark/>
          </w:tcPr>
          <w:p w14:paraId="5B51BD35"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$195</w:t>
            </w:r>
          </w:p>
        </w:tc>
        <w:tc>
          <w:tcPr>
            <w:tcW w:w="0" w:type="auto"/>
            <w:hideMark/>
          </w:tcPr>
          <w:p w14:paraId="69D48F24"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21.9%</w:t>
            </w:r>
          </w:p>
        </w:tc>
      </w:tr>
      <w:tr w:rsidR="00943820" w:rsidRPr="007D66B6" w14:paraId="4CA233E6"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5E8CBE3F" w14:textId="77777777" w:rsidR="00943820" w:rsidRPr="007D66B6" w:rsidRDefault="00943820" w:rsidP="0066444C">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hideMark/>
          </w:tcPr>
          <w:p w14:paraId="586B5944"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V</w:t>
            </w:r>
          </w:p>
        </w:tc>
        <w:tc>
          <w:tcPr>
            <w:tcW w:w="0" w:type="auto"/>
            <w:hideMark/>
          </w:tcPr>
          <w:p w14:paraId="294C7280" w14:textId="77777777" w:rsidR="00943820" w:rsidRPr="007D66B6"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66B6">
              <w:rPr>
                <w:rFonts w:asciiTheme="minorHAnsi" w:hAnsiTheme="minorHAnsi"/>
                <w:szCs w:val="22"/>
              </w:rPr>
              <w:t>Visa</w:t>
            </w:r>
          </w:p>
        </w:tc>
        <w:tc>
          <w:tcPr>
            <w:tcW w:w="0" w:type="auto"/>
            <w:hideMark/>
          </w:tcPr>
          <w:p w14:paraId="74D16872" w14:textId="77777777" w:rsidR="00943820" w:rsidRPr="007D66B6"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20A0D65A"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0.94</w:t>
            </w:r>
          </w:p>
        </w:tc>
        <w:tc>
          <w:tcPr>
            <w:tcW w:w="0" w:type="auto"/>
            <w:hideMark/>
          </w:tcPr>
          <w:p w14:paraId="554BF49D"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$315-$450</w:t>
            </w:r>
          </w:p>
        </w:tc>
        <w:tc>
          <w:tcPr>
            <w:tcW w:w="0" w:type="auto"/>
            <w:hideMark/>
          </w:tcPr>
          <w:p w14:paraId="5DF41488"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$399</w:t>
            </w:r>
          </w:p>
        </w:tc>
        <w:tc>
          <w:tcPr>
            <w:tcW w:w="0" w:type="auto"/>
            <w:hideMark/>
          </w:tcPr>
          <w:p w14:paraId="77C49C04"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15.0%</w:t>
            </w:r>
          </w:p>
        </w:tc>
      </w:tr>
      <w:tr w:rsidR="00943820" w:rsidRPr="003619C8" w14:paraId="1B1E77D6" w14:textId="77777777" w:rsidTr="00B50C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ADCE5B" w14:textId="77777777" w:rsidR="00943820" w:rsidRPr="003619C8" w:rsidRDefault="00943820" w:rsidP="0066444C">
            <w:pPr>
              <w:pStyle w:val="p1"/>
              <w:rPr>
                <w:rFonts w:asciiTheme="minorHAnsi" w:hAnsiTheme="minorHAnsi"/>
                <w:szCs w:val="22"/>
              </w:rPr>
            </w:pPr>
            <w:r>
              <w:rPr>
                <w:rFonts w:asciiTheme="minorHAnsi" w:hAnsiTheme="minorHAnsi"/>
                <w:szCs w:val="22"/>
              </w:rPr>
              <w:t>7</w:t>
            </w:r>
          </w:p>
        </w:tc>
        <w:tc>
          <w:tcPr>
            <w:tcW w:w="0" w:type="auto"/>
          </w:tcPr>
          <w:p w14:paraId="77D23DB1"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MS</w:t>
            </w:r>
            <w:r w:rsidRPr="00B32E24">
              <w:rPr>
                <w:rFonts w:asciiTheme="minorHAnsi" w:hAnsiTheme="minorHAnsi"/>
                <w:szCs w:val="22"/>
                <w:vertAlign w:val="superscript"/>
              </w:rPr>
              <w:t>3</w:t>
            </w:r>
          </w:p>
        </w:tc>
        <w:tc>
          <w:tcPr>
            <w:tcW w:w="0" w:type="auto"/>
          </w:tcPr>
          <w:p w14:paraId="579597D3" w14:textId="77777777" w:rsidR="00943820" w:rsidRPr="003619C8"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Morgan Stanley</w:t>
            </w:r>
          </w:p>
        </w:tc>
        <w:tc>
          <w:tcPr>
            <w:tcW w:w="0" w:type="auto"/>
          </w:tcPr>
          <w:p w14:paraId="20EE627B" w14:textId="77777777" w:rsidR="00943820" w:rsidRPr="003619C8"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7444C094"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0.91</w:t>
            </w:r>
          </w:p>
        </w:tc>
        <w:tc>
          <w:tcPr>
            <w:tcW w:w="0" w:type="auto"/>
          </w:tcPr>
          <w:p w14:paraId="0C9CDAF1"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$157-$202</w:t>
            </w:r>
          </w:p>
        </w:tc>
        <w:tc>
          <w:tcPr>
            <w:tcW w:w="0" w:type="auto"/>
            <w:shd w:val="clear" w:color="auto" w:fill="B3E5A1" w:themeFill="accent6" w:themeFillTint="66"/>
          </w:tcPr>
          <w:p w14:paraId="7887F5B0" w14:textId="77777777" w:rsidR="00943820" w:rsidRPr="002C35C0"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C35C0">
              <w:rPr>
                <w:rFonts w:asciiTheme="minorHAnsi" w:hAnsiTheme="minorHAnsi"/>
                <w:szCs w:val="22"/>
              </w:rPr>
              <w:t>$182</w:t>
            </w:r>
          </w:p>
        </w:tc>
        <w:tc>
          <w:tcPr>
            <w:tcW w:w="0" w:type="auto"/>
          </w:tcPr>
          <w:p w14:paraId="12E94C3D" w14:textId="77777777" w:rsidR="00943820" w:rsidRPr="003619C8"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0.2%</w:t>
            </w:r>
          </w:p>
        </w:tc>
      </w:tr>
      <w:tr w:rsidR="00943820" w:rsidRPr="003619C8" w14:paraId="5112EDEA" w14:textId="77777777" w:rsidTr="00B50CCD">
        <w:tc>
          <w:tcPr>
            <w:cnfStyle w:val="001000000000" w:firstRow="0" w:lastRow="0" w:firstColumn="1" w:lastColumn="0" w:oddVBand="0" w:evenVBand="0" w:oddHBand="0" w:evenHBand="0" w:firstRowFirstColumn="0" w:firstRowLastColumn="0" w:lastRowFirstColumn="0" w:lastRowLastColumn="0"/>
            <w:tcW w:w="0" w:type="auto"/>
          </w:tcPr>
          <w:p w14:paraId="7AE7FEA4" w14:textId="77777777" w:rsidR="00943820" w:rsidRPr="003619C8" w:rsidRDefault="00943820" w:rsidP="0066444C">
            <w:pPr>
              <w:pStyle w:val="p1"/>
              <w:rPr>
                <w:rFonts w:asciiTheme="minorHAnsi" w:hAnsiTheme="minorHAnsi"/>
                <w:b w:val="0"/>
                <w:bCs w:val="0"/>
                <w:szCs w:val="22"/>
              </w:rPr>
            </w:pPr>
            <w:r>
              <w:rPr>
                <w:rFonts w:asciiTheme="minorHAnsi" w:hAnsiTheme="minorHAnsi"/>
                <w:b w:val="0"/>
                <w:bCs w:val="0"/>
                <w:szCs w:val="22"/>
              </w:rPr>
              <w:t>8</w:t>
            </w:r>
          </w:p>
        </w:tc>
        <w:tc>
          <w:tcPr>
            <w:tcW w:w="0" w:type="auto"/>
            <w:shd w:val="clear" w:color="auto" w:fill="B3E5A1" w:themeFill="accent6" w:themeFillTint="66"/>
          </w:tcPr>
          <w:p w14:paraId="3120D8BC"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BRK.B</w:t>
            </w:r>
          </w:p>
        </w:tc>
        <w:tc>
          <w:tcPr>
            <w:tcW w:w="0" w:type="auto"/>
          </w:tcPr>
          <w:p w14:paraId="54276136" w14:textId="77777777" w:rsidR="00943820" w:rsidRPr="003619C8"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Berkshire Hathaway</w:t>
            </w:r>
          </w:p>
        </w:tc>
        <w:tc>
          <w:tcPr>
            <w:tcW w:w="0" w:type="auto"/>
          </w:tcPr>
          <w:p w14:paraId="05C9484F" w14:textId="77777777" w:rsidR="00943820" w:rsidRPr="003619C8"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15E7C390" w14:textId="77777777" w:rsidR="00943820" w:rsidRPr="003619C8"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0.87</w:t>
            </w:r>
          </w:p>
        </w:tc>
        <w:tc>
          <w:tcPr>
            <w:tcW w:w="0" w:type="auto"/>
          </w:tcPr>
          <w:p w14:paraId="77461C03" w14:textId="77777777" w:rsidR="00943820" w:rsidRPr="003619C8"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$481-$595</w:t>
            </w:r>
          </w:p>
        </w:tc>
        <w:tc>
          <w:tcPr>
            <w:tcW w:w="0" w:type="auto"/>
          </w:tcPr>
          <w:p w14:paraId="57ADA1D7" w14:textId="77777777" w:rsidR="00943820" w:rsidRPr="002C35C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C35C0">
              <w:rPr>
                <w:rFonts w:asciiTheme="minorHAnsi" w:hAnsiTheme="minorHAnsi"/>
                <w:szCs w:val="22"/>
              </w:rPr>
              <w:t>$573</w:t>
            </w:r>
          </w:p>
        </w:tc>
        <w:tc>
          <w:tcPr>
            <w:tcW w:w="0" w:type="auto"/>
          </w:tcPr>
          <w:p w14:paraId="3B268D99" w14:textId="77777777" w:rsidR="00943820" w:rsidRPr="003619C8"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15.2%</w:t>
            </w:r>
          </w:p>
        </w:tc>
      </w:tr>
      <w:tr w:rsidR="00943820" w:rsidRPr="007D66B6" w14:paraId="5883B043"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3E00D9" w14:textId="77777777" w:rsidR="00943820" w:rsidRPr="007D66B6" w:rsidRDefault="00943820" w:rsidP="0066444C">
            <w:pPr>
              <w:pStyle w:val="p1"/>
              <w:rPr>
                <w:rFonts w:asciiTheme="minorHAnsi" w:hAnsiTheme="minorHAnsi"/>
                <w:szCs w:val="22"/>
              </w:rPr>
            </w:pPr>
            <w:r>
              <w:rPr>
                <w:rFonts w:asciiTheme="minorHAnsi" w:hAnsiTheme="minorHAnsi"/>
                <w:szCs w:val="22"/>
              </w:rPr>
              <w:t>9</w:t>
            </w:r>
          </w:p>
        </w:tc>
        <w:tc>
          <w:tcPr>
            <w:tcW w:w="0" w:type="auto"/>
            <w:hideMark/>
          </w:tcPr>
          <w:p w14:paraId="0BB372AE" w14:textId="77777777" w:rsidR="00943820" w:rsidRPr="005F4D3E"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JPM</w:t>
            </w:r>
          </w:p>
        </w:tc>
        <w:tc>
          <w:tcPr>
            <w:tcW w:w="0" w:type="auto"/>
            <w:hideMark/>
          </w:tcPr>
          <w:p w14:paraId="7E433B9F" w14:textId="77777777" w:rsidR="00943820" w:rsidRPr="007D66B6" w:rsidRDefault="00943820"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66B6">
              <w:rPr>
                <w:rFonts w:asciiTheme="minorHAnsi" w:hAnsiTheme="minorHAnsi"/>
                <w:szCs w:val="22"/>
              </w:rPr>
              <w:t>JPMorgan Chase</w:t>
            </w:r>
          </w:p>
        </w:tc>
        <w:tc>
          <w:tcPr>
            <w:tcW w:w="0" w:type="auto"/>
            <w:hideMark/>
          </w:tcPr>
          <w:p w14:paraId="74534EBA" w14:textId="77777777" w:rsidR="00943820" w:rsidRPr="007D66B6" w:rsidRDefault="00943820"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D66B6">
              <w:rPr>
                <w:rFonts w:asciiTheme="minorHAnsi" w:hAnsiTheme="minorHAnsi"/>
                <w:szCs w:val="22"/>
              </w:rPr>
              <w:t>N</w:t>
            </w:r>
          </w:p>
        </w:tc>
        <w:tc>
          <w:tcPr>
            <w:tcW w:w="0" w:type="auto"/>
            <w:hideMark/>
          </w:tcPr>
          <w:p w14:paraId="3B001B19"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0" w:type="auto"/>
            <w:hideMark/>
          </w:tcPr>
          <w:p w14:paraId="0E1C6CB8"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$250-$363</w:t>
            </w:r>
          </w:p>
        </w:tc>
        <w:tc>
          <w:tcPr>
            <w:tcW w:w="0" w:type="auto"/>
            <w:hideMark/>
          </w:tcPr>
          <w:p w14:paraId="73839220" w14:textId="77777777" w:rsidR="00943820" w:rsidRPr="002C35C0"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2C35C0">
              <w:rPr>
                <w:rFonts w:asciiTheme="minorHAnsi" w:hAnsiTheme="minorHAnsi"/>
                <w:szCs w:val="22"/>
              </w:rPr>
              <w:t>$340</w:t>
            </w:r>
          </w:p>
        </w:tc>
        <w:tc>
          <w:tcPr>
            <w:tcW w:w="0" w:type="auto"/>
            <w:hideMark/>
          </w:tcPr>
          <w:p w14:paraId="1989DA2D" w14:textId="77777777" w:rsidR="00943820" w:rsidRPr="007D66B6" w:rsidRDefault="00943820"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4.3%</w:t>
            </w:r>
          </w:p>
        </w:tc>
      </w:tr>
      <w:tr w:rsidR="00943820" w:rsidRPr="007D66B6" w14:paraId="3A2308FE" w14:textId="77777777" w:rsidTr="00B50CCD">
        <w:tc>
          <w:tcPr>
            <w:cnfStyle w:val="001000000000" w:firstRow="0" w:lastRow="0" w:firstColumn="1" w:lastColumn="0" w:oddVBand="0" w:evenVBand="0" w:oddHBand="0" w:evenHBand="0" w:firstRowFirstColumn="0" w:firstRowLastColumn="0" w:lastRowFirstColumn="0" w:lastRowLastColumn="0"/>
            <w:tcW w:w="0" w:type="auto"/>
            <w:hideMark/>
          </w:tcPr>
          <w:p w14:paraId="4F0DD1DB" w14:textId="77777777" w:rsidR="00943820" w:rsidRPr="007D66B6" w:rsidRDefault="00943820" w:rsidP="0066444C">
            <w:pPr>
              <w:pStyle w:val="p1"/>
              <w:rPr>
                <w:rFonts w:asciiTheme="minorHAnsi" w:hAnsiTheme="minorHAnsi"/>
                <w:szCs w:val="22"/>
              </w:rPr>
            </w:pPr>
            <w:r>
              <w:rPr>
                <w:rFonts w:asciiTheme="minorHAnsi" w:hAnsiTheme="minorHAnsi"/>
                <w:szCs w:val="22"/>
              </w:rPr>
              <w:t>10</w:t>
            </w:r>
          </w:p>
        </w:tc>
        <w:tc>
          <w:tcPr>
            <w:tcW w:w="0" w:type="auto"/>
            <w:hideMark/>
          </w:tcPr>
          <w:p w14:paraId="60389E64" w14:textId="77777777" w:rsidR="00943820" w:rsidRPr="005F4D3E"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CME</w:t>
            </w:r>
            <w:r w:rsidRPr="00B32E24">
              <w:rPr>
                <w:rFonts w:asciiTheme="minorHAnsi" w:hAnsiTheme="minorHAnsi"/>
                <w:szCs w:val="22"/>
                <w:vertAlign w:val="superscript"/>
              </w:rPr>
              <w:t>3</w:t>
            </w:r>
          </w:p>
        </w:tc>
        <w:tc>
          <w:tcPr>
            <w:tcW w:w="0" w:type="auto"/>
            <w:hideMark/>
          </w:tcPr>
          <w:p w14:paraId="77214861" w14:textId="77777777" w:rsidR="00943820" w:rsidRPr="007D66B6" w:rsidRDefault="00943820"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D66B6">
              <w:rPr>
                <w:rFonts w:asciiTheme="minorHAnsi" w:hAnsiTheme="minorHAnsi"/>
                <w:szCs w:val="22"/>
              </w:rPr>
              <w:t>CME Group</w:t>
            </w:r>
          </w:p>
        </w:tc>
        <w:tc>
          <w:tcPr>
            <w:tcW w:w="0" w:type="auto"/>
            <w:hideMark/>
          </w:tcPr>
          <w:p w14:paraId="52E29A36" w14:textId="77777777" w:rsidR="00943820" w:rsidRPr="007D66B6" w:rsidRDefault="00943820"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5A42F5E3"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0.82</w:t>
            </w:r>
          </w:p>
        </w:tc>
        <w:tc>
          <w:tcPr>
            <w:tcW w:w="0" w:type="auto"/>
            <w:hideMark/>
          </w:tcPr>
          <w:p w14:paraId="55DFF15C"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$209-$320</w:t>
            </w:r>
          </w:p>
        </w:tc>
        <w:tc>
          <w:tcPr>
            <w:tcW w:w="0" w:type="auto"/>
            <w:shd w:val="clear" w:color="auto" w:fill="B3E5A1" w:themeFill="accent6" w:themeFillTint="66"/>
            <w:hideMark/>
          </w:tcPr>
          <w:p w14:paraId="0B3B45D8" w14:textId="77777777" w:rsidR="00943820" w:rsidRPr="002C35C0"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2C35C0">
              <w:rPr>
                <w:rFonts w:asciiTheme="minorHAnsi" w:hAnsiTheme="minorHAnsi"/>
                <w:szCs w:val="22"/>
              </w:rPr>
              <w:t>$295</w:t>
            </w:r>
          </w:p>
        </w:tc>
        <w:tc>
          <w:tcPr>
            <w:tcW w:w="0" w:type="auto"/>
            <w:hideMark/>
          </w:tcPr>
          <w:p w14:paraId="7BF326C3" w14:textId="77777777" w:rsidR="00943820" w:rsidRPr="007D66B6" w:rsidRDefault="00943820"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9.4%</w:t>
            </w:r>
          </w:p>
        </w:tc>
      </w:tr>
    </w:tbl>
    <w:p w14:paraId="6D1CBF61" w14:textId="77777777" w:rsidR="00943820" w:rsidRPr="005C3B4E" w:rsidRDefault="00943820" w:rsidP="00943820">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02E6D48B" w14:textId="77777777" w:rsidR="00943820" w:rsidRDefault="00943820" w:rsidP="00943820">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6C7485FA" w14:textId="77777777" w:rsidR="00943820" w:rsidRDefault="00943820" w:rsidP="00943820">
      <w:pPr>
        <w:pStyle w:val="p1"/>
        <w:rPr>
          <w:sz w:val="20"/>
          <w:szCs w:val="20"/>
        </w:rPr>
      </w:pPr>
      <w:r w:rsidRPr="00B32E24">
        <w:rPr>
          <w:sz w:val="20"/>
          <w:szCs w:val="20"/>
          <w:vertAlign w:val="superscript"/>
        </w:rPr>
        <w:t>3</w:t>
      </w:r>
      <w:r>
        <w:rPr>
          <w:sz w:val="20"/>
          <w:szCs w:val="20"/>
        </w:rPr>
        <w:t xml:space="preserve"> Price rose too quickly to buy.</w:t>
      </w:r>
    </w:p>
    <w:p w14:paraId="44DE9EE4" w14:textId="37255EB2" w:rsidR="00143365" w:rsidRPr="00943820" w:rsidRDefault="00143365" w:rsidP="00143365">
      <w:pPr>
        <w:pStyle w:val="p1"/>
        <w:rPr>
          <w:b/>
          <w:bCs/>
          <w:kern w:val="36"/>
          <w:sz w:val="28"/>
          <w:szCs w:val="28"/>
        </w:rPr>
      </w:pPr>
      <w:r>
        <w:rPr>
          <w:sz w:val="20"/>
          <w:szCs w:val="20"/>
        </w:rPr>
        <w:t>Notes: Tickers highlighted green were selected.  Thesis 1-year targets highlighted in green were achieved during calendar year 2026.</w:t>
      </w:r>
    </w:p>
    <w:p w14:paraId="4DBED4E3" w14:textId="77777777" w:rsidR="00143365" w:rsidRDefault="00143365" w:rsidP="00143365">
      <w:pPr>
        <w:rPr>
          <w:b/>
          <w:bCs/>
        </w:rPr>
      </w:pPr>
      <w:r>
        <w:rPr>
          <w:b/>
          <w:bCs/>
        </w:rPr>
        <w:br w:type="page"/>
      </w:r>
    </w:p>
    <w:p w14:paraId="2CF9F9FC" w14:textId="77777777" w:rsidR="00143365" w:rsidRPr="0090480D" w:rsidRDefault="00143365" w:rsidP="00143365">
      <w:pPr>
        <w:pStyle w:val="Heading3"/>
      </w:pPr>
      <w:r w:rsidRPr="0090480D">
        <w:lastRenderedPageBreak/>
        <w:t>Technology Sector Outlook:</w:t>
      </w:r>
    </w:p>
    <w:p w14:paraId="0CF7F325" w14:textId="77777777" w:rsidR="00143365" w:rsidRDefault="00143365" w:rsidP="00143365">
      <w:pPr>
        <w:pStyle w:val="p1"/>
      </w:pPr>
      <w:r>
        <w:t xml:space="preserve">In 2026, the technology sector remains the economy’s primary growth engine, but the story shifts from “model breakthroughs” to </w:t>
      </w:r>
      <w:r>
        <w:rPr>
          <w:rStyle w:val="s1"/>
          <w:rFonts w:eastAsiaTheme="majorEastAsia"/>
          <w:b/>
          <w:bCs/>
        </w:rPr>
        <w:t>mass deployment under real-world constraints</w:t>
      </w:r>
      <w:r>
        <w:t xml:space="preserve">. Enterprise AI becomes systemic rather than optional: agentic workflows move from pilots into durable operating budgets across finance, healthcare, legal, logistics, and industrial operations, pushing buyers toward platforms that prove measurable ROI, integrate securely, and reduce workflow friction. At the same time, an AI-driven </w:t>
      </w:r>
      <w:r>
        <w:rPr>
          <w:rStyle w:val="s1"/>
          <w:rFonts w:eastAsiaTheme="majorEastAsia"/>
          <w:b/>
          <w:bCs/>
        </w:rPr>
        <w:t xml:space="preserve">capex </w:t>
      </w:r>
      <w:proofErr w:type="spellStart"/>
      <w:r>
        <w:rPr>
          <w:rStyle w:val="s1"/>
          <w:rFonts w:eastAsiaTheme="majorEastAsia"/>
          <w:b/>
          <w:bCs/>
        </w:rPr>
        <w:t>supercycle</w:t>
      </w:r>
      <w:proofErr w:type="spellEnd"/>
      <w:r>
        <w:t xml:space="preserve"> accelerates as hyperscalers expand data centers, networking, and specialized silicon—supporting strong earnings growth for AI infrastructure providers and reinforcing tech’s leadership in profit expansion. The binding constraint in 2026 is no longer imagination or demand, but </w:t>
      </w:r>
      <w:r>
        <w:rPr>
          <w:rStyle w:val="s1"/>
          <w:rFonts w:eastAsiaTheme="majorEastAsia"/>
          <w:b/>
          <w:bCs/>
        </w:rPr>
        <w:t>power, cooling, and interconnection timelines</w:t>
      </w:r>
      <w:r>
        <w:t>—which increasingly determine where and how fast compute can scale.</w:t>
      </w:r>
    </w:p>
    <w:p w14:paraId="1F378791" w14:textId="77777777" w:rsidR="00143365" w:rsidRPr="007D66B6" w:rsidRDefault="00143365" w:rsidP="00143365">
      <w:pPr>
        <w:pStyle w:val="p1"/>
      </w:pPr>
      <w:r>
        <w:t xml:space="preserve">This creates a highly </w:t>
      </w:r>
      <w:r>
        <w:rPr>
          <w:rStyle w:val="s1"/>
          <w:rFonts w:eastAsiaTheme="majorEastAsia"/>
          <w:b/>
          <w:bCs/>
        </w:rPr>
        <w:t>bifurcated</w:t>
      </w:r>
      <w:r>
        <w:t xml:space="preserve"> sector. Winners are execution-driven firms that control scarce bottlenecks—AI infrastructure (advanced semiconductors beyond GPUs, HBM, advanced packaging), high-performance networking, cybersecurity, and power-efficient compute architectures—plus software platforms with distribution strength and deep AI integration that can operationalize governance at scale. Losers are more likely to be power-hungry or geopolitically exposed hardware, highly valued but low-cash-flow businesses, and products that can’t demonstrate ROI in a more disciplined procurement environment. A higher-term-premium macro backdrop raises the valuation hurdle for long-duration cash flows and makes capital-intensive buildouts more sensitive to financing discipline, while regulatory scrutiny on AI safety, IP, and data usage adds compliance friction that smaller players struggle to absorb. Net: tech in 2026 is structurally dominant and productivity-driving, but capacity-constrained and governance-heavy—so returns concentrate in AI enablers and secure platform integrators, with an “AI mini-cycle” overbuild/correction risk creating periodic volatility rather than derailing the secular trend.</w:t>
      </w:r>
    </w:p>
    <w:p w14:paraId="30589733" w14:textId="77777777" w:rsidR="00143365" w:rsidRDefault="00143365" w:rsidP="00143365">
      <w:pPr>
        <w:spacing w:after="160" w:line="278" w:lineRule="auto"/>
        <w:rPr>
          <w:b/>
          <w:bCs/>
        </w:rPr>
      </w:pPr>
      <w:r>
        <w:rPr>
          <w:b/>
          <w:bCs/>
        </w:rPr>
        <w:br w:type="page"/>
      </w:r>
    </w:p>
    <w:p w14:paraId="51AD4AFB" w14:textId="77777777" w:rsidR="00143365" w:rsidRPr="00E5349B" w:rsidRDefault="00143365" w:rsidP="00143365">
      <w:pPr>
        <w:pStyle w:val="p3"/>
      </w:pPr>
      <w:r>
        <w:rPr>
          <w:b/>
          <w:bCs/>
        </w:rPr>
        <w:lastRenderedPageBreak/>
        <w:t>Top 5 technology companies positioned for 2026 (including initial portfolio weights):</w:t>
      </w:r>
    </w:p>
    <w:tbl>
      <w:tblPr>
        <w:tblStyle w:val="ListTable4-Accent4"/>
        <w:tblW w:w="0" w:type="auto"/>
        <w:tblLook w:val="04A0" w:firstRow="1" w:lastRow="0" w:firstColumn="1" w:lastColumn="0" w:noHBand="0" w:noVBand="1"/>
      </w:tblPr>
      <w:tblGrid>
        <w:gridCol w:w="743"/>
        <w:gridCol w:w="919"/>
        <w:gridCol w:w="2734"/>
        <w:gridCol w:w="1143"/>
        <w:gridCol w:w="1115"/>
        <w:gridCol w:w="1321"/>
        <w:gridCol w:w="840"/>
        <w:gridCol w:w="895"/>
      </w:tblGrid>
      <w:tr w:rsidR="00143365" w:rsidRPr="003B0CFD" w14:paraId="36D671B4"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2255A8" w14:textId="77777777" w:rsidR="00143365" w:rsidRPr="003B0CFD" w:rsidRDefault="00143365" w:rsidP="0066444C">
            <w:pPr>
              <w:pStyle w:val="p1"/>
              <w:jc w:val="center"/>
              <w:rPr>
                <w:rFonts w:asciiTheme="minorHAnsi" w:hAnsiTheme="minorHAnsi"/>
                <w:sz w:val="20"/>
                <w:szCs w:val="20"/>
              </w:rPr>
            </w:pPr>
            <w:r w:rsidRPr="00343448">
              <w:rPr>
                <w:rFonts w:asciiTheme="minorHAnsi" w:hAnsiTheme="minorHAnsi"/>
                <w:b w:val="0"/>
                <w:bCs w:val="0"/>
                <w:sz w:val="21"/>
                <w:szCs w:val="21"/>
              </w:rPr>
              <w:t>Rank</w:t>
            </w:r>
            <w:r w:rsidRPr="00EE7037">
              <w:rPr>
                <w:rFonts w:asciiTheme="minorHAnsi" w:hAnsiTheme="minorHAnsi"/>
                <w:b w:val="0"/>
                <w:bCs w:val="0"/>
                <w:sz w:val="21"/>
                <w:szCs w:val="21"/>
                <w:vertAlign w:val="superscript"/>
              </w:rPr>
              <w:t>1</w:t>
            </w:r>
          </w:p>
        </w:tc>
        <w:tc>
          <w:tcPr>
            <w:tcW w:w="0" w:type="auto"/>
            <w:hideMark/>
          </w:tcPr>
          <w:p w14:paraId="403CB2AC"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343448">
              <w:rPr>
                <w:rFonts w:asciiTheme="minorHAnsi" w:hAnsiTheme="minorHAnsi"/>
                <w:b w:val="0"/>
                <w:bCs w:val="0"/>
                <w:sz w:val="21"/>
                <w:szCs w:val="21"/>
              </w:rPr>
              <w:t>Ticker</w:t>
            </w:r>
          </w:p>
        </w:tc>
        <w:tc>
          <w:tcPr>
            <w:tcW w:w="0" w:type="auto"/>
            <w:hideMark/>
          </w:tcPr>
          <w:p w14:paraId="739F4381"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343448">
              <w:rPr>
                <w:rFonts w:asciiTheme="minorHAnsi" w:hAnsiTheme="minorHAnsi"/>
                <w:b w:val="0"/>
                <w:bCs w:val="0"/>
                <w:sz w:val="21"/>
                <w:szCs w:val="21"/>
              </w:rPr>
              <w:t>Company</w:t>
            </w:r>
          </w:p>
        </w:tc>
        <w:tc>
          <w:tcPr>
            <w:tcW w:w="0" w:type="auto"/>
            <w:hideMark/>
          </w:tcPr>
          <w:p w14:paraId="3FED9DFB"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743573">
              <w:rPr>
                <w:rFonts w:asciiTheme="minorHAnsi" w:hAnsiTheme="minorHAnsi"/>
                <w:b w:val="0"/>
                <w:bCs w:val="0"/>
                <w:szCs w:val="22"/>
              </w:rPr>
              <w:t xml:space="preserve">Top 5 Total </w:t>
            </w:r>
            <w:proofErr w:type="spellStart"/>
            <w:r w:rsidRPr="00743573">
              <w:rPr>
                <w:rFonts w:asciiTheme="minorHAnsi" w:hAnsiTheme="minorHAnsi"/>
                <w:b w:val="0"/>
                <w:bCs w:val="0"/>
                <w:szCs w:val="22"/>
              </w:rPr>
              <w:t>Rtn</w:t>
            </w:r>
            <w:proofErr w:type="spellEnd"/>
          </w:p>
        </w:tc>
        <w:tc>
          <w:tcPr>
            <w:tcW w:w="0" w:type="auto"/>
            <w:hideMark/>
          </w:tcPr>
          <w:p w14:paraId="19D2723D"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Fit to Thesis</w:t>
            </w:r>
            <w:r>
              <w:rPr>
                <w:rFonts w:asciiTheme="minorHAnsi" w:hAnsiTheme="minorHAnsi"/>
                <w:b w:val="0"/>
                <w:bCs w:val="0"/>
                <w:sz w:val="20"/>
                <w:szCs w:val="20"/>
              </w:rPr>
              <w:br/>
              <w:t>(fitscore)</w:t>
            </w:r>
          </w:p>
        </w:tc>
        <w:tc>
          <w:tcPr>
            <w:tcW w:w="0" w:type="auto"/>
            <w:hideMark/>
          </w:tcPr>
          <w:p w14:paraId="39754FA6"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sidRPr="00B35BE4">
              <w:rPr>
                <w:rFonts w:asciiTheme="minorHAnsi" w:hAnsiTheme="minorHAnsi"/>
                <w:b w:val="0"/>
                <w:bCs w:val="0"/>
                <w:sz w:val="20"/>
                <w:szCs w:val="20"/>
              </w:rPr>
              <w:t xml:space="preserve">Analyst 1-yr </w:t>
            </w:r>
            <w:r>
              <w:rPr>
                <w:rFonts w:asciiTheme="minorHAnsi" w:hAnsiTheme="minorHAnsi"/>
                <w:b w:val="0"/>
                <w:bCs w:val="0"/>
                <w:sz w:val="20"/>
                <w:szCs w:val="20"/>
              </w:rPr>
              <w:t>T</w:t>
            </w:r>
            <w:r w:rsidRPr="00B35BE4">
              <w:rPr>
                <w:rFonts w:asciiTheme="minorHAnsi" w:hAnsiTheme="minorHAnsi"/>
                <w:b w:val="0"/>
                <w:bCs w:val="0"/>
                <w:sz w:val="20"/>
                <w:szCs w:val="20"/>
              </w:rPr>
              <w:t>arget</w:t>
            </w:r>
          </w:p>
        </w:tc>
        <w:tc>
          <w:tcPr>
            <w:tcW w:w="0" w:type="auto"/>
            <w:hideMark/>
          </w:tcPr>
          <w:p w14:paraId="647D63B3"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Thesis</w:t>
            </w:r>
            <w:r w:rsidRPr="003426DF">
              <w:rPr>
                <w:rFonts w:asciiTheme="minorHAnsi" w:hAnsiTheme="minorHAnsi"/>
                <w:b w:val="0"/>
                <w:bCs w:val="0"/>
                <w:sz w:val="20"/>
                <w:szCs w:val="20"/>
                <w:vertAlign w:val="superscript"/>
              </w:rPr>
              <w:t>2</w:t>
            </w:r>
            <w:r w:rsidRPr="00B35BE4">
              <w:rPr>
                <w:rFonts w:asciiTheme="minorHAnsi" w:hAnsiTheme="minorHAnsi"/>
                <w:b w:val="0"/>
                <w:bCs w:val="0"/>
                <w:sz w:val="20"/>
                <w:szCs w:val="20"/>
              </w:rPr>
              <w:t xml:space="preserve"> </w:t>
            </w:r>
            <w:r w:rsidRPr="00B35BE4">
              <w:rPr>
                <w:rFonts w:asciiTheme="minorHAnsi" w:hAnsiTheme="minorHAnsi"/>
                <w:sz w:val="20"/>
                <w:szCs w:val="20"/>
              </w:rPr>
              <w:br/>
            </w:r>
            <w:r w:rsidRPr="00B35BE4">
              <w:rPr>
                <w:rFonts w:asciiTheme="minorHAnsi" w:hAnsiTheme="minorHAnsi"/>
                <w:b w:val="0"/>
                <w:bCs w:val="0"/>
                <w:sz w:val="20"/>
                <w:szCs w:val="20"/>
              </w:rPr>
              <w:t xml:space="preserve">1-yr </w:t>
            </w:r>
            <w:proofErr w:type="spellStart"/>
            <w:r>
              <w:rPr>
                <w:rFonts w:asciiTheme="minorHAnsi" w:hAnsiTheme="minorHAnsi"/>
                <w:b w:val="0"/>
                <w:bCs w:val="0"/>
                <w:sz w:val="20"/>
                <w:szCs w:val="20"/>
              </w:rPr>
              <w:t>T</w:t>
            </w:r>
            <w:r w:rsidRPr="00B35BE4">
              <w:rPr>
                <w:rFonts w:asciiTheme="minorHAnsi" w:hAnsiTheme="minorHAnsi"/>
                <w:b w:val="0"/>
                <w:bCs w:val="0"/>
                <w:sz w:val="20"/>
                <w:szCs w:val="20"/>
              </w:rPr>
              <w:t>gt</w:t>
            </w:r>
            <w:proofErr w:type="spellEnd"/>
          </w:p>
        </w:tc>
        <w:tc>
          <w:tcPr>
            <w:tcW w:w="0" w:type="auto"/>
            <w:hideMark/>
          </w:tcPr>
          <w:p w14:paraId="3966C669" w14:textId="77777777" w:rsidR="00143365" w:rsidRPr="003B0CFD"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0"/>
                <w:szCs w:val="20"/>
              </w:rPr>
            </w:pPr>
            <w:r>
              <w:rPr>
                <w:rFonts w:asciiTheme="minorHAnsi" w:hAnsiTheme="minorHAnsi"/>
                <w:b w:val="0"/>
                <w:bCs w:val="0"/>
                <w:sz w:val="20"/>
                <w:szCs w:val="20"/>
              </w:rPr>
              <w:t>1-Yr</w:t>
            </w:r>
            <w:r w:rsidRPr="00B35BE4">
              <w:rPr>
                <w:rFonts w:asciiTheme="minorHAnsi" w:hAnsiTheme="minorHAnsi"/>
                <w:b w:val="0"/>
                <w:bCs w:val="0"/>
                <w:sz w:val="20"/>
                <w:szCs w:val="20"/>
              </w:rPr>
              <w:t xml:space="preserve"> </w:t>
            </w:r>
            <w:proofErr w:type="spellStart"/>
            <w:r w:rsidRPr="00B35BE4">
              <w:rPr>
                <w:rFonts w:asciiTheme="minorHAnsi" w:hAnsiTheme="minorHAnsi"/>
                <w:b w:val="0"/>
                <w:bCs w:val="0"/>
                <w:sz w:val="20"/>
                <w:szCs w:val="20"/>
              </w:rPr>
              <w:t>Rtn</w:t>
            </w:r>
            <w:proofErr w:type="spellEnd"/>
            <w:r>
              <w:rPr>
                <w:rFonts w:asciiTheme="minorHAnsi" w:hAnsiTheme="minorHAnsi"/>
                <w:b w:val="0"/>
                <w:bCs w:val="0"/>
                <w:sz w:val="20"/>
                <w:szCs w:val="20"/>
              </w:rPr>
              <w:br/>
              <w:t>(Thesis)</w:t>
            </w:r>
          </w:p>
        </w:tc>
      </w:tr>
      <w:tr w:rsidR="00143365" w:rsidRPr="003B0CFD" w14:paraId="5945A35D"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BD4CBC6" w14:textId="77777777" w:rsidR="00143365" w:rsidRDefault="00143365" w:rsidP="0066444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tcPr>
          <w:p w14:paraId="0D9A4C6A"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NVDA</w:t>
            </w:r>
            <w:r w:rsidRPr="005F4D3E">
              <w:rPr>
                <w:rFonts w:asciiTheme="minorHAnsi" w:hAnsiTheme="minorHAnsi"/>
                <w:szCs w:val="22"/>
                <w:vertAlign w:val="superscript"/>
              </w:rPr>
              <w:t>3</w:t>
            </w:r>
          </w:p>
        </w:tc>
        <w:tc>
          <w:tcPr>
            <w:tcW w:w="0" w:type="auto"/>
          </w:tcPr>
          <w:p w14:paraId="73723E0B" w14:textId="77777777" w:rsidR="00143365"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B0CFD">
              <w:rPr>
                <w:rFonts w:asciiTheme="minorHAnsi" w:hAnsiTheme="minorHAnsi"/>
                <w:szCs w:val="22"/>
              </w:rPr>
              <w:t>NVIDIA</w:t>
            </w:r>
          </w:p>
        </w:tc>
        <w:tc>
          <w:tcPr>
            <w:tcW w:w="0" w:type="auto"/>
          </w:tcPr>
          <w:p w14:paraId="00C32D67"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5AB17034"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0.95</w:t>
            </w:r>
          </w:p>
        </w:tc>
        <w:tc>
          <w:tcPr>
            <w:tcW w:w="0" w:type="auto"/>
          </w:tcPr>
          <w:p w14:paraId="642A660A"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$200-$352</w:t>
            </w:r>
          </w:p>
        </w:tc>
        <w:tc>
          <w:tcPr>
            <w:tcW w:w="0" w:type="auto"/>
          </w:tcPr>
          <w:p w14:paraId="49996932"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$275</w:t>
            </w:r>
          </w:p>
        </w:tc>
        <w:tc>
          <w:tcPr>
            <w:tcW w:w="0" w:type="auto"/>
          </w:tcPr>
          <w:p w14:paraId="1D657BA8"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45.6%</w:t>
            </w:r>
          </w:p>
        </w:tc>
      </w:tr>
      <w:tr w:rsidR="00143365" w:rsidRPr="003B0CFD" w14:paraId="6EEA2101"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5F98FDA0" w14:textId="77777777" w:rsidR="00143365" w:rsidRPr="003B0CFD" w:rsidRDefault="00143365" w:rsidP="0066444C">
            <w:pPr>
              <w:pStyle w:val="p1"/>
              <w:rPr>
                <w:rFonts w:asciiTheme="minorHAnsi" w:hAnsiTheme="minorHAnsi"/>
                <w:szCs w:val="22"/>
              </w:rPr>
            </w:pPr>
            <w:r>
              <w:rPr>
                <w:rFonts w:asciiTheme="minorHAnsi" w:hAnsiTheme="minorHAnsi"/>
                <w:szCs w:val="22"/>
              </w:rPr>
              <w:t>2</w:t>
            </w:r>
          </w:p>
        </w:tc>
        <w:tc>
          <w:tcPr>
            <w:tcW w:w="0" w:type="auto"/>
            <w:shd w:val="clear" w:color="auto" w:fill="B3E5A1" w:themeFill="accent6" w:themeFillTint="66"/>
            <w:hideMark/>
          </w:tcPr>
          <w:p w14:paraId="0B46D0F9"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NOW</w:t>
            </w:r>
            <w:r w:rsidRPr="005F4D3E">
              <w:rPr>
                <w:rFonts w:asciiTheme="minorHAnsi" w:hAnsiTheme="minorHAnsi"/>
                <w:szCs w:val="22"/>
                <w:vertAlign w:val="superscript"/>
              </w:rPr>
              <w:t>3</w:t>
            </w:r>
          </w:p>
        </w:tc>
        <w:tc>
          <w:tcPr>
            <w:tcW w:w="0" w:type="auto"/>
            <w:hideMark/>
          </w:tcPr>
          <w:p w14:paraId="36CB9EE0"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B0CFD">
              <w:rPr>
                <w:rFonts w:asciiTheme="minorHAnsi" w:hAnsiTheme="minorHAnsi"/>
                <w:szCs w:val="22"/>
              </w:rPr>
              <w:t>ServiceNow</w:t>
            </w:r>
          </w:p>
        </w:tc>
        <w:tc>
          <w:tcPr>
            <w:tcW w:w="0" w:type="auto"/>
            <w:hideMark/>
          </w:tcPr>
          <w:p w14:paraId="3C9AB69D"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B0CFD">
              <w:rPr>
                <w:rFonts w:asciiTheme="minorHAnsi" w:hAnsiTheme="minorHAnsi"/>
                <w:szCs w:val="22"/>
              </w:rPr>
              <w:t>Y</w:t>
            </w:r>
          </w:p>
        </w:tc>
        <w:tc>
          <w:tcPr>
            <w:tcW w:w="0" w:type="auto"/>
            <w:hideMark/>
          </w:tcPr>
          <w:p w14:paraId="165C8A91"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hideMark/>
          </w:tcPr>
          <w:p w14:paraId="773C94DE"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$155-$263</w:t>
            </w:r>
          </w:p>
        </w:tc>
        <w:tc>
          <w:tcPr>
            <w:tcW w:w="0" w:type="auto"/>
            <w:hideMark/>
          </w:tcPr>
          <w:p w14:paraId="6A2811B1"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$230</w:t>
            </w:r>
          </w:p>
        </w:tc>
        <w:tc>
          <w:tcPr>
            <w:tcW w:w="0" w:type="auto"/>
            <w:hideMark/>
          </w:tcPr>
          <w:p w14:paraId="1E3B95AF"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56.0%</w:t>
            </w:r>
          </w:p>
        </w:tc>
      </w:tr>
      <w:tr w:rsidR="00143365" w:rsidRPr="003B0CFD" w14:paraId="1356AA3A"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0119AD" w14:textId="77777777" w:rsidR="00143365" w:rsidRPr="003B0CFD" w:rsidRDefault="00143365" w:rsidP="0066444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hideMark/>
          </w:tcPr>
          <w:p w14:paraId="7042D47E"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CRM</w:t>
            </w:r>
            <w:r w:rsidRPr="005F4D3E">
              <w:rPr>
                <w:rFonts w:asciiTheme="minorHAnsi" w:hAnsiTheme="minorHAnsi"/>
                <w:szCs w:val="22"/>
                <w:vertAlign w:val="superscript"/>
              </w:rPr>
              <w:t>3</w:t>
            </w:r>
          </w:p>
        </w:tc>
        <w:tc>
          <w:tcPr>
            <w:tcW w:w="0" w:type="auto"/>
            <w:hideMark/>
          </w:tcPr>
          <w:p w14:paraId="4EDECD06" w14:textId="77777777" w:rsidR="00143365" w:rsidRPr="003B0CFD"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B0CFD">
              <w:rPr>
                <w:rFonts w:asciiTheme="minorHAnsi" w:hAnsiTheme="minorHAnsi"/>
                <w:szCs w:val="22"/>
              </w:rPr>
              <w:t>Salesforce</w:t>
            </w:r>
          </w:p>
        </w:tc>
        <w:tc>
          <w:tcPr>
            <w:tcW w:w="0" w:type="auto"/>
            <w:hideMark/>
          </w:tcPr>
          <w:p w14:paraId="546C448F" w14:textId="77777777" w:rsidR="00143365" w:rsidRPr="003B0CFD"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588EF292"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0.86</w:t>
            </w:r>
          </w:p>
        </w:tc>
        <w:tc>
          <w:tcPr>
            <w:tcW w:w="0" w:type="auto"/>
            <w:hideMark/>
          </w:tcPr>
          <w:p w14:paraId="7EFCB5F5"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$223-$405</w:t>
            </w:r>
          </w:p>
        </w:tc>
        <w:tc>
          <w:tcPr>
            <w:tcW w:w="0" w:type="auto"/>
            <w:hideMark/>
          </w:tcPr>
          <w:p w14:paraId="3FDD7FED"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$345</w:t>
            </w:r>
          </w:p>
        </w:tc>
        <w:tc>
          <w:tcPr>
            <w:tcW w:w="0" w:type="auto"/>
            <w:hideMark/>
          </w:tcPr>
          <w:p w14:paraId="2F816D9B"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36.0%</w:t>
            </w:r>
          </w:p>
        </w:tc>
      </w:tr>
      <w:tr w:rsidR="00143365" w:rsidRPr="003B0CFD" w14:paraId="62E8298F" w14:textId="77777777" w:rsidTr="008015F3">
        <w:tc>
          <w:tcPr>
            <w:cnfStyle w:val="001000000000" w:firstRow="0" w:lastRow="0" w:firstColumn="1" w:lastColumn="0" w:oddVBand="0" w:evenVBand="0" w:oddHBand="0" w:evenHBand="0" w:firstRowFirstColumn="0" w:firstRowLastColumn="0" w:lastRowFirstColumn="0" w:lastRowLastColumn="0"/>
            <w:tcW w:w="0" w:type="auto"/>
          </w:tcPr>
          <w:p w14:paraId="7ECD4184" w14:textId="77777777" w:rsidR="00143365" w:rsidRPr="003B0CFD" w:rsidRDefault="00143365" w:rsidP="0066444C">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tcPr>
          <w:p w14:paraId="23576BFA"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SMCI</w:t>
            </w:r>
          </w:p>
        </w:tc>
        <w:tc>
          <w:tcPr>
            <w:tcW w:w="0" w:type="auto"/>
          </w:tcPr>
          <w:p w14:paraId="6BD6156F"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Super Micro Computer</w:t>
            </w:r>
          </w:p>
        </w:tc>
        <w:tc>
          <w:tcPr>
            <w:tcW w:w="0" w:type="auto"/>
          </w:tcPr>
          <w:p w14:paraId="0F012555"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3A01F7D5"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0.82</w:t>
            </w:r>
          </w:p>
        </w:tc>
        <w:tc>
          <w:tcPr>
            <w:tcW w:w="0" w:type="auto"/>
          </w:tcPr>
          <w:p w14:paraId="788D8AEE"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$34-$63</w:t>
            </w:r>
          </w:p>
        </w:tc>
        <w:tc>
          <w:tcPr>
            <w:tcW w:w="0" w:type="auto"/>
          </w:tcPr>
          <w:p w14:paraId="6917C385"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$52</w:t>
            </w:r>
          </w:p>
        </w:tc>
        <w:tc>
          <w:tcPr>
            <w:tcW w:w="0" w:type="auto"/>
          </w:tcPr>
          <w:p w14:paraId="4FB4B748"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67.2%</w:t>
            </w:r>
          </w:p>
        </w:tc>
      </w:tr>
      <w:tr w:rsidR="00143365" w:rsidRPr="003B0CFD" w14:paraId="67217E38"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F8F3C12" w14:textId="77777777" w:rsidR="00143365" w:rsidRDefault="00143365" w:rsidP="0066444C">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tcPr>
          <w:p w14:paraId="350078AC"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ORCL</w:t>
            </w:r>
            <w:r w:rsidRPr="005F4D3E">
              <w:rPr>
                <w:rFonts w:asciiTheme="minorHAnsi" w:hAnsiTheme="minorHAnsi"/>
                <w:szCs w:val="22"/>
                <w:vertAlign w:val="superscript"/>
              </w:rPr>
              <w:t>3</w:t>
            </w:r>
          </w:p>
        </w:tc>
        <w:tc>
          <w:tcPr>
            <w:tcW w:w="0" w:type="auto"/>
          </w:tcPr>
          <w:p w14:paraId="6E223B2B" w14:textId="77777777" w:rsidR="00143365"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Oracle</w:t>
            </w:r>
          </w:p>
        </w:tc>
        <w:tc>
          <w:tcPr>
            <w:tcW w:w="0" w:type="auto"/>
          </w:tcPr>
          <w:p w14:paraId="3244D4E9"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15A8C4E4"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0.79</w:t>
            </w:r>
          </w:p>
        </w:tc>
        <w:tc>
          <w:tcPr>
            <w:tcW w:w="0" w:type="auto"/>
          </w:tcPr>
          <w:p w14:paraId="069614EE"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$180-$400</w:t>
            </w:r>
          </w:p>
        </w:tc>
        <w:tc>
          <w:tcPr>
            <w:tcW w:w="0" w:type="auto"/>
          </w:tcPr>
          <w:p w14:paraId="46ADA77B"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$310</w:t>
            </w:r>
          </w:p>
        </w:tc>
        <w:tc>
          <w:tcPr>
            <w:tcW w:w="0" w:type="auto"/>
          </w:tcPr>
          <w:p w14:paraId="0EFEFC4B"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58.4%</w:t>
            </w:r>
          </w:p>
        </w:tc>
      </w:tr>
      <w:tr w:rsidR="00143365" w:rsidRPr="003B0CFD" w14:paraId="50650C97" w14:textId="77777777" w:rsidTr="008015F3">
        <w:tc>
          <w:tcPr>
            <w:cnfStyle w:val="001000000000" w:firstRow="0" w:lastRow="0" w:firstColumn="1" w:lastColumn="0" w:oddVBand="0" w:evenVBand="0" w:oddHBand="0" w:evenHBand="0" w:firstRowFirstColumn="0" w:firstRowLastColumn="0" w:lastRowFirstColumn="0" w:lastRowLastColumn="0"/>
            <w:tcW w:w="0" w:type="auto"/>
          </w:tcPr>
          <w:p w14:paraId="0AF4144C" w14:textId="77777777" w:rsidR="00143365" w:rsidRPr="003B0CFD" w:rsidRDefault="00143365" w:rsidP="0066444C">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tcPr>
          <w:p w14:paraId="50BB54F1"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TSM</w:t>
            </w:r>
            <w:r w:rsidRPr="005F4D3E">
              <w:rPr>
                <w:rFonts w:asciiTheme="minorHAnsi" w:hAnsiTheme="minorHAnsi"/>
                <w:szCs w:val="22"/>
                <w:vertAlign w:val="superscript"/>
              </w:rPr>
              <w:t>3</w:t>
            </w:r>
          </w:p>
        </w:tc>
        <w:tc>
          <w:tcPr>
            <w:tcW w:w="0" w:type="auto"/>
          </w:tcPr>
          <w:p w14:paraId="3DB67745" w14:textId="3777E8C4"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 xml:space="preserve">Taiwan </w:t>
            </w:r>
            <w:r w:rsidR="008015F3">
              <w:rPr>
                <w:rFonts w:asciiTheme="minorHAnsi" w:hAnsiTheme="minorHAnsi"/>
                <w:szCs w:val="22"/>
              </w:rPr>
              <w:t>Semiconductor</w:t>
            </w:r>
            <w:r>
              <w:rPr>
                <w:rFonts w:asciiTheme="minorHAnsi" w:hAnsiTheme="minorHAnsi"/>
                <w:szCs w:val="22"/>
              </w:rPr>
              <w:t xml:space="preserve"> </w:t>
            </w:r>
            <w:r w:rsidR="008015F3">
              <w:rPr>
                <w:rFonts w:asciiTheme="minorHAnsi" w:hAnsiTheme="minorHAnsi"/>
                <w:szCs w:val="22"/>
              </w:rPr>
              <w:t>Manufacturing</w:t>
            </w:r>
          </w:p>
        </w:tc>
        <w:tc>
          <w:tcPr>
            <w:tcW w:w="0" w:type="auto"/>
          </w:tcPr>
          <w:p w14:paraId="1C0A641E"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55AF8267"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0.95</w:t>
            </w:r>
          </w:p>
        </w:tc>
        <w:tc>
          <w:tcPr>
            <w:tcW w:w="0" w:type="auto"/>
          </w:tcPr>
          <w:p w14:paraId="492A8967"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$325-$400</w:t>
            </w:r>
          </w:p>
        </w:tc>
        <w:tc>
          <w:tcPr>
            <w:tcW w:w="0" w:type="auto"/>
            <w:shd w:val="clear" w:color="auto" w:fill="B3E5A1" w:themeFill="accent6" w:themeFillTint="66"/>
          </w:tcPr>
          <w:p w14:paraId="7FE6020A"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$364</w:t>
            </w:r>
          </w:p>
        </w:tc>
        <w:tc>
          <w:tcPr>
            <w:tcW w:w="0" w:type="auto"/>
          </w:tcPr>
          <w:p w14:paraId="35E940BB"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13.8%</w:t>
            </w:r>
          </w:p>
        </w:tc>
      </w:tr>
      <w:tr w:rsidR="00143365" w:rsidRPr="003B0CFD" w14:paraId="6691EEA6" w14:textId="77777777" w:rsidTr="00801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FA0E1B5" w14:textId="77777777" w:rsidR="00143365" w:rsidRDefault="00143365" w:rsidP="0066444C">
            <w:pPr>
              <w:pStyle w:val="p1"/>
              <w:rPr>
                <w:rFonts w:asciiTheme="minorHAnsi" w:hAnsiTheme="minorHAnsi"/>
                <w:szCs w:val="22"/>
              </w:rPr>
            </w:pPr>
            <w:r>
              <w:rPr>
                <w:rFonts w:asciiTheme="minorHAnsi" w:hAnsiTheme="minorHAnsi"/>
                <w:szCs w:val="22"/>
              </w:rPr>
              <w:t>7</w:t>
            </w:r>
          </w:p>
        </w:tc>
        <w:tc>
          <w:tcPr>
            <w:tcW w:w="0" w:type="auto"/>
          </w:tcPr>
          <w:p w14:paraId="69FFC953"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ASML</w:t>
            </w:r>
            <w:r w:rsidRPr="00872D3E">
              <w:rPr>
                <w:rFonts w:asciiTheme="minorHAnsi" w:hAnsiTheme="minorHAnsi"/>
                <w:szCs w:val="22"/>
                <w:vertAlign w:val="superscript"/>
              </w:rPr>
              <w:t>4</w:t>
            </w:r>
          </w:p>
        </w:tc>
        <w:tc>
          <w:tcPr>
            <w:tcW w:w="0" w:type="auto"/>
          </w:tcPr>
          <w:p w14:paraId="14DB5690" w14:textId="77777777" w:rsidR="00143365"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ASML Holding</w:t>
            </w:r>
          </w:p>
        </w:tc>
        <w:tc>
          <w:tcPr>
            <w:tcW w:w="0" w:type="auto"/>
          </w:tcPr>
          <w:p w14:paraId="3D948AE2"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06A0DF44"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0.93</w:t>
            </w:r>
          </w:p>
        </w:tc>
        <w:tc>
          <w:tcPr>
            <w:tcW w:w="0" w:type="auto"/>
          </w:tcPr>
          <w:p w14:paraId="64A1DB0A"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$929-$1500</w:t>
            </w:r>
          </w:p>
        </w:tc>
        <w:tc>
          <w:tcPr>
            <w:tcW w:w="0" w:type="auto"/>
            <w:shd w:val="clear" w:color="auto" w:fill="B3E5A1" w:themeFill="accent6" w:themeFillTint="66"/>
          </w:tcPr>
          <w:p w14:paraId="305CF656" w14:textId="77777777" w:rsidR="00143365" w:rsidRPr="00B32E24"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32E24">
              <w:rPr>
                <w:rFonts w:asciiTheme="minorHAnsi" w:hAnsiTheme="minorHAnsi"/>
                <w:szCs w:val="22"/>
              </w:rPr>
              <w:t>$1318</w:t>
            </w:r>
          </w:p>
        </w:tc>
        <w:tc>
          <w:tcPr>
            <w:tcW w:w="0" w:type="auto"/>
          </w:tcPr>
          <w:p w14:paraId="796303B3"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13.2%</w:t>
            </w:r>
          </w:p>
        </w:tc>
      </w:tr>
      <w:tr w:rsidR="00143365" w:rsidRPr="003B0CFD" w14:paraId="58E8F5CF"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077D437B" w14:textId="77777777" w:rsidR="00143365" w:rsidRPr="003B0CFD" w:rsidRDefault="00143365" w:rsidP="0066444C">
            <w:pPr>
              <w:pStyle w:val="p1"/>
              <w:rPr>
                <w:rFonts w:asciiTheme="minorHAnsi" w:hAnsiTheme="minorHAnsi"/>
                <w:szCs w:val="22"/>
              </w:rPr>
            </w:pPr>
            <w:r>
              <w:rPr>
                <w:rFonts w:asciiTheme="minorHAnsi" w:hAnsiTheme="minorHAnsi"/>
                <w:szCs w:val="22"/>
              </w:rPr>
              <w:t>8</w:t>
            </w:r>
          </w:p>
        </w:tc>
        <w:tc>
          <w:tcPr>
            <w:tcW w:w="0" w:type="auto"/>
            <w:shd w:val="clear" w:color="auto" w:fill="B3E5A1" w:themeFill="accent6" w:themeFillTint="66"/>
            <w:hideMark/>
          </w:tcPr>
          <w:p w14:paraId="6B926BBF"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AVGO</w:t>
            </w:r>
            <w:r w:rsidRPr="005F4D3E">
              <w:rPr>
                <w:rFonts w:asciiTheme="minorHAnsi" w:hAnsiTheme="minorHAnsi"/>
                <w:szCs w:val="22"/>
                <w:vertAlign w:val="superscript"/>
              </w:rPr>
              <w:t>3</w:t>
            </w:r>
          </w:p>
        </w:tc>
        <w:tc>
          <w:tcPr>
            <w:tcW w:w="0" w:type="auto"/>
            <w:hideMark/>
          </w:tcPr>
          <w:p w14:paraId="6B3C62B7"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B0CFD">
              <w:rPr>
                <w:rFonts w:asciiTheme="minorHAnsi" w:hAnsiTheme="minorHAnsi"/>
                <w:szCs w:val="22"/>
              </w:rPr>
              <w:t>Broadcom</w:t>
            </w:r>
          </w:p>
        </w:tc>
        <w:tc>
          <w:tcPr>
            <w:tcW w:w="0" w:type="auto"/>
            <w:hideMark/>
          </w:tcPr>
          <w:p w14:paraId="06A3E8B7"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59236D0D"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0" w:type="auto"/>
            <w:hideMark/>
          </w:tcPr>
          <w:p w14:paraId="3F1B6AE2"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$390-$525</w:t>
            </w:r>
          </w:p>
        </w:tc>
        <w:tc>
          <w:tcPr>
            <w:tcW w:w="0" w:type="auto"/>
            <w:hideMark/>
          </w:tcPr>
          <w:p w14:paraId="19E02DCE" w14:textId="77777777" w:rsidR="00143365" w:rsidRPr="00B32E24"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2E24">
              <w:rPr>
                <w:rFonts w:asciiTheme="minorHAnsi" w:hAnsiTheme="minorHAnsi"/>
                <w:szCs w:val="22"/>
              </w:rPr>
              <w:t>$473</w:t>
            </w:r>
          </w:p>
        </w:tc>
        <w:tc>
          <w:tcPr>
            <w:tcW w:w="0" w:type="auto"/>
            <w:hideMark/>
          </w:tcPr>
          <w:p w14:paraId="4849F92C"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35.9%</w:t>
            </w:r>
          </w:p>
        </w:tc>
      </w:tr>
      <w:tr w:rsidR="00143365" w:rsidRPr="003B0CFD" w14:paraId="6401D0F0" w14:textId="77777777" w:rsidTr="000B79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C2AE475" w14:textId="77777777" w:rsidR="00143365" w:rsidRDefault="00143365" w:rsidP="0066444C">
            <w:pPr>
              <w:pStyle w:val="p1"/>
              <w:rPr>
                <w:rFonts w:asciiTheme="minorHAnsi" w:hAnsiTheme="minorHAnsi"/>
                <w:szCs w:val="22"/>
              </w:rPr>
            </w:pPr>
            <w:r>
              <w:rPr>
                <w:rFonts w:asciiTheme="minorHAnsi" w:hAnsiTheme="minorHAnsi"/>
                <w:szCs w:val="22"/>
              </w:rPr>
              <w:t>9</w:t>
            </w:r>
          </w:p>
        </w:tc>
        <w:tc>
          <w:tcPr>
            <w:tcW w:w="0" w:type="auto"/>
            <w:shd w:val="clear" w:color="auto" w:fill="B3E5A1" w:themeFill="accent6" w:themeFillTint="66"/>
          </w:tcPr>
          <w:p w14:paraId="148B49AD"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AMD</w:t>
            </w:r>
          </w:p>
        </w:tc>
        <w:tc>
          <w:tcPr>
            <w:tcW w:w="0" w:type="auto"/>
          </w:tcPr>
          <w:p w14:paraId="3E963E5A" w14:textId="77777777" w:rsidR="00143365" w:rsidRPr="003B0CFD"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Advanced Micro Devices</w:t>
            </w:r>
          </w:p>
        </w:tc>
        <w:tc>
          <w:tcPr>
            <w:tcW w:w="0" w:type="auto"/>
          </w:tcPr>
          <w:p w14:paraId="24E2C7A2"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2B114986"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0.91</w:t>
            </w:r>
          </w:p>
        </w:tc>
        <w:tc>
          <w:tcPr>
            <w:tcW w:w="0" w:type="auto"/>
          </w:tcPr>
          <w:p w14:paraId="513E71F2"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$200-$377</w:t>
            </w:r>
          </w:p>
        </w:tc>
        <w:tc>
          <w:tcPr>
            <w:tcW w:w="0" w:type="auto"/>
            <w:shd w:val="clear" w:color="auto" w:fill="B3E5A1" w:themeFill="accent6" w:themeFillTint="66"/>
          </w:tcPr>
          <w:p w14:paraId="63A629B4" w14:textId="77777777" w:rsidR="00143365" w:rsidRPr="00B32E24"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32E24">
              <w:rPr>
                <w:rFonts w:asciiTheme="minorHAnsi" w:hAnsiTheme="minorHAnsi"/>
                <w:szCs w:val="22"/>
              </w:rPr>
              <w:t>$275</w:t>
            </w:r>
          </w:p>
        </w:tc>
        <w:tc>
          <w:tcPr>
            <w:tcW w:w="0" w:type="auto"/>
          </w:tcPr>
          <w:p w14:paraId="789AC198"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23.1%</w:t>
            </w:r>
          </w:p>
        </w:tc>
      </w:tr>
      <w:tr w:rsidR="00143365" w:rsidRPr="003B0CFD" w14:paraId="00E2AFE7" w14:textId="77777777" w:rsidTr="0066444C">
        <w:tc>
          <w:tcPr>
            <w:cnfStyle w:val="001000000000" w:firstRow="0" w:lastRow="0" w:firstColumn="1" w:lastColumn="0" w:oddVBand="0" w:evenVBand="0" w:oddHBand="0" w:evenHBand="0" w:firstRowFirstColumn="0" w:firstRowLastColumn="0" w:lastRowFirstColumn="0" w:lastRowLastColumn="0"/>
            <w:tcW w:w="0" w:type="auto"/>
          </w:tcPr>
          <w:p w14:paraId="34B9769B" w14:textId="77777777" w:rsidR="00143365" w:rsidRDefault="00143365" w:rsidP="0066444C">
            <w:pPr>
              <w:pStyle w:val="p1"/>
              <w:rPr>
                <w:rFonts w:asciiTheme="minorHAnsi" w:hAnsiTheme="minorHAnsi"/>
                <w:szCs w:val="22"/>
              </w:rPr>
            </w:pPr>
            <w:r>
              <w:rPr>
                <w:rFonts w:asciiTheme="minorHAnsi" w:hAnsiTheme="minorHAnsi"/>
                <w:szCs w:val="22"/>
              </w:rPr>
              <w:t>10</w:t>
            </w:r>
          </w:p>
        </w:tc>
        <w:tc>
          <w:tcPr>
            <w:tcW w:w="0" w:type="auto"/>
            <w:shd w:val="clear" w:color="auto" w:fill="B3E5A1" w:themeFill="accent6" w:themeFillTint="66"/>
          </w:tcPr>
          <w:p w14:paraId="4A07F5F8"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AAPL</w:t>
            </w:r>
          </w:p>
        </w:tc>
        <w:tc>
          <w:tcPr>
            <w:tcW w:w="0" w:type="auto"/>
          </w:tcPr>
          <w:p w14:paraId="2E7406E2"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Apple</w:t>
            </w:r>
          </w:p>
        </w:tc>
        <w:tc>
          <w:tcPr>
            <w:tcW w:w="0" w:type="auto"/>
          </w:tcPr>
          <w:p w14:paraId="3438D322" w14:textId="77777777" w:rsidR="00143365"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0308A0B0"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0.91</w:t>
            </w:r>
          </w:p>
        </w:tc>
        <w:tc>
          <w:tcPr>
            <w:tcW w:w="0" w:type="auto"/>
          </w:tcPr>
          <w:p w14:paraId="7D093189"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$230-$350</w:t>
            </w:r>
          </w:p>
        </w:tc>
        <w:tc>
          <w:tcPr>
            <w:tcW w:w="0" w:type="auto"/>
          </w:tcPr>
          <w:p w14:paraId="64BE5E6A" w14:textId="77777777" w:rsidR="00143365" w:rsidRPr="00B32E24"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2E24">
              <w:rPr>
                <w:rFonts w:asciiTheme="minorHAnsi" w:hAnsiTheme="minorHAnsi"/>
                <w:szCs w:val="22"/>
              </w:rPr>
              <w:t>$315</w:t>
            </w:r>
          </w:p>
        </w:tc>
        <w:tc>
          <w:tcPr>
            <w:tcW w:w="0" w:type="auto"/>
          </w:tcPr>
          <w:p w14:paraId="7638ECD5"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16.2%</w:t>
            </w:r>
          </w:p>
        </w:tc>
      </w:tr>
      <w:tr w:rsidR="00143365" w:rsidRPr="003B0CFD" w14:paraId="1D00EC99"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82E273" w14:textId="77777777" w:rsidR="00143365" w:rsidRDefault="00143365" w:rsidP="0066444C">
            <w:pPr>
              <w:pStyle w:val="p1"/>
              <w:rPr>
                <w:rFonts w:asciiTheme="minorHAnsi" w:hAnsiTheme="minorHAnsi"/>
                <w:szCs w:val="22"/>
              </w:rPr>
            </w:pPr>
            <w:r>
              <w:rPr>
                <w:rFonts w:asciiTheme="minorHAnsi" w:hAnsiTheme="minorHAnsi"/>
                <w:szCs w:val="22"/>
              </w:rPr>
              <w:t>11</w:t>
            </w:r>
          </w:p>
        </w:tc>
        <w:tc>
          <w:tcPr>
            <w:tcW w:w="0" w:type="auto"/>
            <w:shd w:val="clear" w:color="auto" w:fill="B3E5A1" w:themeFill="accent6" w:themeFillTint="66"/>
          </w:tcPr>
          <w:p w14:paraId="1F360BBB"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ADBE</w:t>
            </w:r>
          </w:p>
        </w:tc>
        <w:tc>
          <w:tcPr>
            <w:tcW w:w="0" w:type="auto"/>
          </w:tcPr>
          <w:p w14:paraId="776CBB84" w14:textId="77777777" w:rsidR="00143365" w:rsidRPr="003B0CFD"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Adobe</w:t>
            </w:r>
          </w:p>
        </w:tc>
        <w:tc>
          <w:tcPr>
            <w:tcW w:w="0" w:type="auto"/>
          </w:tcPr>
          <w:p w14:paraId="2162B074"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621806D0"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0" w:type="auto"/>
          </w:tcPr>
          <w:p w14:paraId="4ECA4E00"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$310-$660</w:t>
            </w:r>
          </w:p>
        </w:tc>
        <w:tc>
          <w:tcPr>
            <w:tcW w:w="0" w:type="auto"/>
          </w:tcPr>
          <w:p w14:paraId="421F3A2E" w14:textId="77777777" w:rsidR="00143365" w:rsidRPr="00B32E24"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32E24">
              <w:rPr>
                <w:rFonts w:asciiTheme="minorHAnsi" w:hAnsiTheme="minorHAnsi"/>
                <w:szCs w:val="22"/>
              </w:rPr>
              <w:t>$453</w:t>
            </w:r>
          </w:p>
        </w:tc>
        <w:tc>
          <w:tcPr>
            <w:tcW w:w="0" w:type="auto"/>
          </w:tcPr>
          <w:p w14:paraId="4307CAEE"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35.8%</w:t>
            </w:r>
          </w:p>
        </w:tc>
      </w:tr>
      <w:tr w:rsidR="00143365" w:rsidRPr="003B0CFD" w14:paraId="687A9835" w14:textId="77777777" w:rsidTr="00413E89">
        <w:tc>
          <w:tcPr>
            <w:cnfStyle w:val="001000000000" w:firstRow="0" w:lastRow="0" w:firstColumn="1" w:lastColumn="0" w:oddVBand="0" w:evenVBand="0" w:oddHBand="0" w:evenHBand="0" w:firstRowFirstColumn="0" w:firstRowLastColumn="0" w:lastRowFirstColumn="0" w:lastRowLastColumn="0"/>
            <w:tcW w:w="0" w:type="auto"/>
            <w:hideMark/>
          </w:tcPr>
          <w:p w14:paraId="47815EC8" w14:textId="77777777" w:rsidR="00143365" w:rsidRPr="003B0CFD" w:rsidRDefault="00143365" w:rsidP="0066444C">
            <w:pPr>
              <w:pStyle w:val="p1"/>
              <w:rPr>
                <w:rFonts w:asciiTheme="minorHAnsi" w:hAnsiTheme="minorHAnsi"/>
                <w:szCs w:val="22"/>
              </w:rPr>
            </w:pPr>
            <w:r>
              <w:rPr>
                <w:rFonts w:asciiTheme="minorHAnsi" w:hAnsiTheme="minorHAnsi"/>
                <w:szCs w:val="22"/>
              </w:rPr>
              <w:t>12</w:t>
            </w:r>
          </w:p>
        </w:tc>
        <w:tc>
          <w:tcPr>
            <w:tcW w:w="0" w:type="auto"/>
            <w:shd w:val="clear" w:color="auto" w:fill="B3E5A1" w:themeFill="accent6" w:themeFillTint="66"/>
            <w:hideMark/>
          </w:tcPr>
          <w:p w14:paraId="491DF725"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ANET</w:t>
            </w:r>
          </w:p>
        </w:tc>
        <w:tc>
          <w:tcPr>
            <w:tcW w:w="0" w:type="auto"/>
            <w:hideMark/>
          </w:tcPr>
          <w:p w14:paraId="1D9F3424"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3B0CFD">
              <w:rPr>
                <w:rFonts w:asciiTheme="minorHAnsi" w:hAnsiTheme="minorHAnsi"/>
                <w:szCs w:val="22"/>
              </w:rPr>
              <w:t>Arista Networks</w:t>
            </w:r>
          </w:p>
        </w:tc>
        <w:tc>
          <w:tcPr>
            <w:tcW w:w="0" w:type="auto"/>
            <w:hideMark/>
          </w:tcPr>
          <w:p w14:paraId="7F9FF98E"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3735AA6F"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0" w:type="auto"/>
            <w:hideMark/>
          </w:tcPr>
          <w:p w14:paraId="20D822BE"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$140-$183</w:t>
            </w:r>
          </w:p>
        </w:tc>
        <w:tc>
          <w:tcPr>
            <w:tcW w:w="0" w:type="auto"/>
            <w:shd w:val="clear" w:color="auto" w:fill="B3E5A1" w:themeFill="accent6" w:themeFillTint="66"/>
            <w:hideMark/>
          </w:tcPr>
          <w:p w14:paraId="1EB99244" w14:textId="77777777" w:rsidR="00143365" w:rsidRPr="00B32E24"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B32E24">
              <w:rPr>
                <w:rFonts w:asciiTheme="minorHAnsi" w:hAnsiTheme="minorHAnsi"/>
                <w:szCs w:val="22"/>
              </w:rPr>
              <w:t>$174</w:t>
            </w:r>
          </w:p>
        </w:tc>
        <w:tc>
          <w:tcPr>
            <w:tcW w:w="0" w:type="auto"/>
            <w:hideMark/>
          </w:tcPr>
          <w:p w14:paraId="502CF9DE"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30.2%</w:t>
            </w:r>
          </w:p>
        </w:tc>
      </w:tr>
      <w:tr w:rsidR="00143365" w:rsidRPr="003B0CFD" w14:paraId="5E2725A4" w14:textId="77777777" w:rsidTr="008015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2E0BEF" w14:textId="77777777" w:rsidR="00143365" w:rsidRPr="003B0CFD" w:rsidRDefault="00143365" w:rsidP="0066444C">
            <w:pPr>
              <w:pStyle w:val="p1"/>
              <w:rPr>
                <w:rFonts w:asciiTheme="minorHAnsi" w:hAnsiTheme="minorHAnsi"/>
                <w:szCs w:val="22"/>
              </w:rPr>
            </w:pPr>
            <w:r>
              <w:rPr>
                <w:rFonts w:asciiTheme="minorHAnsi" w:hAnsiTheme="minorHAnsi"/>
                <w:szCs w:val="22"/>
              </w:rPr>
              <w:t>13</w:t>
            </w:r>
          </w:p>
        </w:tc>
        <w:tc>
          <w:tcPr>
            <w:tcW w:w="0" w:type="auto"/>
            <w:hideMark/>
          </w:tcPr>
          <w:p w14:paraId="7B8CB220"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MU</w:t>
            </w:r>
            <w:r w:rsidRPr="00872D3E">
              <w:rPr>
                <w:rFonts w:asciiTheme="minorHAnsi" w:hAnsiTheme="minorHAnsi"/>
                <w:szCs w:val="22"/>
                <w:vertAlign w:val="superscript"/>
              </w:rPr>
              <w:t>4</w:t>
            </w:r>
          </w:p>
        </w:tc>
        <w:tc>
          <w:tcPr>
            <w:tcW w:w="0" w:type="auto"/>
            <w:hideMark/>
          </w:tcPr>
          <w:p w14:paraId="5F9A81D0" w14:textId="77777777" w:rsidR="00143365" w:rsidRPr="003B0CFD"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B0CFD">
              <w:rPr>
                <w:rFonts w:asciiTheme="minorHAnsi" w:hAnsiTheme="minorHAnsi"/>
                <w:szCs w:val="22"/>
              </w:rPr>
              <w:t>Micron</w:t>
            </w:r>
          </w:p>
        </w:tc>
        <w:tc>
          <w:tcPr>
            <w:tcW w:w="0" w:type="auto"/>
            <w:hideMark/>
          </w:tcPr>
          <w:p w14:paraId="45730312" w14:textId="77777777" w:rsidR="00143365" w:rsidRPr="003B0CFD"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6849A2B4"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0.90</w:t>
            </w:r>
          </w:p>
        </w:tc>
        <w:tc>
          <w:tcPr>
            <w:tcW w:w="0" w:type="auto"/>
            <w:hideMark/>
          </w:tcPr>
          <w:p w14:paraId="6BF3B312"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$235-$500</w:t>
            </w:r>
          </w:p>
        </w:tc>
        <w:tc>
          <w:tcPr>
            <w:tcW w:w="0" w:type="auto"/>
            <w:shd w:val="clear" w:color="auto" w:fill="B3E5A1" w:themeFill="accent6" w:themeFillTint="66"/>
            <w:hideMark/>
          </w:tcPr>
          <w:p w14:paraId="7F29B804" w14:textId="77777777" w:rsidR="00143365" w:rsidRPr="00B32E24"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B32E24">
              <w:rPr>
                <w:rFonts w:asciiTheme="minorHAnsi" w:hAnsiTheme="minorHAnsi"/>
                <w:szCs w:val="22"/>
              </w:rPr>
              <w:t>$354</w:t>
            </w:r>
          </w:p>
        </w:tc>
        <w:tc>
          <w:tcPr>
            <w:tcW w:w="0" w:type="auto"/>
            <w:hideMark/>
          </w:tcPr>
          <w:p w14:paraId="7E8562AB"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12.2%</w:t>
            </w:r>
          </w:p>
        </w:tc>
      </w:tr>
      <w:tr w:rsidR="00143365" w:rsidRPr="003B0CFD" w14:paraId="6482CCB1" w14:textId="77777777" w:rsidTr="0066444C">
        <w:tc>
          <w:tcPr>
            <w:cnfStyle w:val="001000000000" w:firstRow="0" w:lastRow="0" w:firstColumn="1" w:lastColumn="0" w:oddVBand="0" w:evenVBand="0" w:oddHBand="0" w:evenHBand="0" w:firstRowFirstColumn="0" w:firstRowLastColumn="0" w:lastRowFirstColumn="0" w:lastRowLastColumn="0"/>
            <w:tcW w:w="0" w:type="auto"/>
          </w:tcPr>
          <w:p w14:paraId="1EDBF798" w14:textId="77777777" w:rsidR="00143365" w:rsidRPr="003B0CFD" w:rsidRDefault="00143365" w:rsidP="0066444C">
            <w:pPr>
              <w:pStyle w:val="p1"/>
              <w:rPr>
                <w:rFonts w:asciiTheme="minorHAnsi" w:hAnsiTheme="minorHAnsi"/>
                <w:szCs w:val="22"/>
              </w:rPr>
            </w:pPr>
            <w:r>
              <w:rPr>
                <w:rFonts w:asciiTheme="minorHAnsi" w:hAnsiTheme="minorHAnsi"/>
                <w:szCs w:val="22"/>
              </w:rPr>
              <w:t>14</w:t>
            </w:r>
          </w:p>
        </w:tc>
        <w:tc>
          <w:tcPr>
            <w:tcW w:w="0" w:type="auto"/>
            <w:shd w:val="clear" w:color="auto" w:fill="B3E5A1" w:themeFill="accent6" w:themeFillTint="66"/>
          </w:tcPr>
          <w:p w14:paraId="77B65516"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5F4D3E">
              <w:rPr>
                <w:rFonts w:asciiTheme="minorHAnsi" w:hAnsiTheme="minorHAnsi"/>
                <w:szCs w:val="22"/>
              </w:rPr>
              <w:t>CRWD</w:t>
            </w:r>
            <w:r w:rsidRPr="005F4D3E">
              <w:rPr>
                <w:rFonts w:asciiTheme="minorHAnsi" w:hAnsiTheme="minorHAnsi"/>
                <w:szCs w:val="22"/>
                <w:vertAlign w:val="superscript"/>
              </w:rPr>
              <w:t>3</w:t>
            </w:r>
          </w:p>
        </w:tc>
        <w:tc>
          <w:tcPr>
            <w:tcW w:w="0" w:type="auto"/>
          </w:tcPr>
          <w:p w14:paraId="28EB2926"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CrowdStrike</w:t>
            </w:r>
          </w:p>
        </w:tc>
        <w:tc>
          <w:tcPr>
            <w:tcW w:w="0" w:type="auto"/>
          </w:tcPr>
          <w:p w14:paraId="60966FE5" w14:textId="77777777" w:rsidR="00143365" w:rsidRPr="003B0CFD"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064F7CE9"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0.89</w:t>
            </w:r>
          </w:p>
        </w:tc>
        <w:tc>
          <w:tcPr>
            <w:tcW w:w="0" w:type="auto"/>
          </w:tcPr>
          <w:p w14:paraId="3277AC85"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$353-$706</w:t>
            </w:r>
          </w:p>
        </w:tc>
        <w:tc>
          <w:tcPr>
            <w:tcW w:w="0" w:type="auto"/>
          </w:tcPr>
          <w:p w14:paraId="342234CC"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$527</w:t>
            </w:r>
          </w:p>
        </w:tc>
        <w:tc>
          <w:tcPr>
            <w:tcW w:w="0" w:type="auto"/>
          </w:tcPr>
          <w:p w14:paraId="1F503EB8" w14:textId="77777777" w:rsidR="00143365" w:rsidRPr="003B0CFD"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16.2%</w:t>
            </w:r>
          </w:p>
        </w:tc>
      </w:tr>
      <w:tr w:rsidR="00143365" w:rsidRPr="003B0CFD" w14:paraId="659DC717"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F396D1" w14:textId="77777777" w:rsidR="00143365" w:rsidRPr="003B0CFD" w:rsidRDefault="00143365" w:rsidP="0066444C">
            <w:pPr>
              <w:pStyle w:val="p1"/>
              <w:rPr>
                <w:rFonts w:asciiTheme="minorHAnsi" w:hAnsiTheme="minorHAnsi"/>
                <w:szCs w:val="22"/>
              </w:rPr>
            </w:pPr>
            <w:r>
              <w:rPr>
                <w:rFonts w:asciiTheme="minorHAnsi" w:hAnsiTheme="minorHAnsi"/>
                <w:szCs w:val="22"/>
              </w:rPr>
              <w:t>15</w:t>
            </w:r>
          </w:p>
        </w:tc>
        <w:tc>
          <w:tcPr>
            <w:tcW w:w="0" w:type="auto"/>
            <w:shd w:val="clear" w:color="auto" w:fill="B3E5A1" w:themeFill="accent6" w:themeFillTint="66"/>
            <w:hideMark/>
          </w:tcPr>
          <w:p w14:paraId="03ED94B7" w14:textId="77777777" w:rsidR="00143365" w:rsidRPr="005F4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5F4D3E">
              <w:rPr>
                <w:rFonts w:asciiTheme="minorHAnsi" w:hAnsiTheme="minorHAnsi"/>
                <w:szCs w:val="22"/>
              </w:rPr>
              <w:t>MSFT</w:t>
            </w:r>
            <w:r w:rsidRPr="005F4D3E">
              <w:rPr>
                <w:rFonts w:asciiTheme="minorHAnsi" w:hAnsiTheme="minorHAnsi"/>
                <w:szCs w:val="22"/>
                <w:vertAlign w:val="superscript"/>
              </w:rPr>
              <w:t>3</w:t>
            </w:r>
          </w:p>
        </w:tc>
        <w:tc>
          <w:tcPr>
            <w:tcW w:w="0" w:type="auto"/>
            <w:hideMark/>
          </w:tcPr>
          <w:p w14:paraId="4C6EDA37" w14:textId="77777777" w:rsidR="00143365" w:rsidRPr="003B0CFD"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3B0CFD">
              <w:rPr>
                <w:rFonts w:asciiTheme="minorHAnsi" w:hAnsiTheme="minorHAnsi"/>
                <w:szCs w:val="22"/>
              </w:rPr>
              <w:t>Microsoft</w:t>
            </w:r>
          </w:p>
        </w:tc>
        <w:tc>
          <w:tcPr>
            <w:tcW w:w="0" w:type="auto"/>
            <w:hideMark/>
          </w:tcPr>
          <w:p w14:paraId="53B6507D" w14:textId="77777777" w:rsidR="00143365" w:rsidRPr="003B0CFD"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43AA374"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hideMark/>
          </w:tcPr>
          <w:p w14:paraId="289D5D07"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$500-$700</w:t>
            </w:r>
          </w:p>
        </w:tc>
        <w:tc>
          <w:tcPr>
            <w:tcW w:w="0" w:type="auto"/>
            <w:hideMark/>
          </w:tcPr>
          <w:p w14:paraId="38069EC0"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$623</w:t>
            </w:r>
          </w:p>
        </w:tc>
        <w:tc>
          <w:tcPr>
            <w:tcW w:w="0" w:type="auto"/>
            <w:hideMark/>
          </w:tcPr>
          <w:p w14:paraId="7104F0FB" w14:textId="77777777" w:rsidR="00143365" w:rsidRPr="003B0CF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31.6%</w:t>
            </w:r>
          </w:p>
        </w:tc>
      </w:tr>
      <w:tr w:rsidR="00143365" w:rsidRPr="003B0CFD" w14:paraId="3ADD33E1" w14:textId="77777777" w:rsidTr="0066444C">
        <w:tc>
          <w:tcPr>
            <w:cnfStyle w:val="001000000000" w:firstRow="0" w:lastRow="0" w:firstColumn="1" w:lastColumn="0" w:oddVBand="0" w:evenVBand="0" w:oddHBand="0" w:evenHBand="0" w:firstRowFirstColumn="0" w:firstRowLastColumn="0" w:lastRowFirstColumn="0" w:lastRowLastColumn="0"/>
            <w:tcW w:w="0" w:type="auto"/>
          </w:tcPr>
          <w:p w14:paraId="70EBAB93" w14:textId="77777777" w:rsidR="00143365" w:rsidRDefault="00143365" w:rsidP="0066444C">
            <w:pPr>
              <w:pStyle w:val="p1"/>
              <w:rPr>
                <w:rFonts w:asciiTheme="minorHAnsi" w:hAnsiTheme="minorHAnsi"/>
                <w:szCs w:val="22"/>
              </w:rPr>
            </w:pPr>
            <w:r>
              <w:rPr>
                <w:rFonts w:asciiTheme="minorHAnsi" w:hAnsiTheme="minorHAnsi"/>
                <w:szCs w:val="22"/>
              </w:rPr>
              <w:t>16</w:t>
            </w:r>
          </w:p>
        </w:tc>
        <w:tc>
          <w:tcPr>
            <w:tcW w:w="0" w:type="auto"/>
            <w:shd w:val="clear" w:color="auto" w:fill="B3E5A1" w:themeFill="accent6" w:themeFillTint="66"/>
          </w:tcPr>
          <w:p w14:paraId="1C2207A9" w14:textId="77777777" w:rsidR="00143365" w:rsidRPr="005F4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PANW</w:t>
            </w:r>
            <w:r w:rsidRPr="00872D3E">
              <w:rPr>
                <w:rFonts w:asciiTheme="minorHAnsi" w:hAnsiTheme="minorHAnsi"/>
                <w:szCs w:val="22"/>
                <w:vertAlign w:val="superscript"/>
              </w:rPr>
              <w:t>3</w:t>
            </w:r>
          </w:p>
        </w:tc>
        <w:tc>
          <w:tcPr>
            <w:tcW w:w="0" w:type="auto"/>
          </w:tcPr>
          <w:p w14:paraId="608CAF64" w14:textId="77777777" w:rsidR="00143365" w:rsidRPr="003B0CFD"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Palo Alto Networks</w:t>
            </w:r>
          </w:p>
        </w:tc>
        <w:tc>
          <w:tcPr>
            <w:tcW w:w="0" w:type="auto"/>
          </w:tcPr>
          <w:p w14:paraId="103176BB" w14:textId="77777777" w:rsidR="00143365"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54A4B0E2"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0.87</w:t>
            </w:r>
          </w:p>
        </w:tc>
        <w:tc>
          <w:tcPr>
            <w:tcW w:w="0" w:type="auto"/>
          </w:tcPr>
          <w:p w14:paraId="4D22BCD8"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$157-$255</w:t>
            </w:r>
          </w:p>
        </w:tc>
        <w:tc>
          <w:tcPr>
            <w:tcW w:w="0" w:type="auto"/>
          </w:tcPr>
          <w:p w14:paraId="48B39624"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$238</w:t>
            </w:r>
          </w:p>
        </w:tc>
        <w:tc>
          <w:tcPr>
            <w:tcW w:w="0" w:type="auto"/>
          </w:tcPr>
          <w:p w14:paraId="2C93BD98"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32.4%</w:t>
            </w:r>
          </w:p>
        </w:tc>
      </w:tr>
      <w:tr w:rsidR="00143365" w:rsidRPr="003B0CFD" w14:paraId="6AE4F947"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31C1967" w14:textId="77777777" w:rsidR="00143365" w:rsidRDefault="00143365" w:rsidP="0066444C">
            <w:pPr>
              <w:pStyle w:val="p1"/>
              <w:rPr>
                <w:rFonts w:asciiTheme="minorHAnsi" w:hAnsiTheme="minorHAnsi"/>
                <w:szCs w:val="22"/>
              </w:rPr>
            </w:pPr>
            <w:r>
              <w:rPr>
                <w:rFonts w:asciiTheme="minorHAnsi" w:hAnsiTheme="minorHAnsi"/>
                <w:szCs w:val="22"/>
              </w:rPr>
              <w:t>17</w:t>
            </w:r>
          </w:p>
        </w:tc>
        <w:tc>
          <w:tcPr>
            <w:tcW w:w="0" w:type="auto"/>
            <w:shd w:val="clear" w:color="auto" w:fill="B3E5A1" w:themeFill="accent6" w:themeFillTint="66"/>
          </w:tcPr>
          <w:p w14:paraId="78075603" w14:textId="77777777" w:rsidR="00143365"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SNOW</w:t>
            </w:r>
          </w:p>
        </w:tc>
        <w:tc>
          <w:tcPr>
            <w:tcW w:w="0" w:type="auto"/>
          </w:tcPr>
          <w:p w14:paraId="4C7BA9E0" w14:textId="77777777" w:rsidR="00143365"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Snowflake Inc.</w:t>
            </w:r>
          </w:p>
        </w:tc>
        <w:tc>
          <w:tcPr>
            <w:tcW w:w="0" w:type="auto"/>
          </w:tcPr>
          <w:p w14:paraId="3F30C8B9"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4D912C96"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0.88</w:t>
            </w:r>
          </w:p>
        </w:tc>
        <w:tc>
          <w:tcPr>
            <w:tcW w:w="0" w:type="auto"/>
          </w:tcPr>
          <w:p w14:paraId="556845FD"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$237-$325</w:t>
            </w:r>
          </w:p>
        </w:tc>
        <w:tc>
          <w:tcPr>
            <w:tcW w:w="0" w:type="auto"/>
          </w:tcPr>
          <w:p w14:paraId="1C51F066"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$281</w:t>
            </w:r>
          </w:p>
        </w:tc>
        <w:tc>
          <w:tcPr>
            <w:tcW w:w="0" w:type="auto"/>
          </w:tcPr>
          <w:p w14:paraId="0E804BB4"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29.4%</w:t>
            </w:r>
          </w:p>
        </w:tc>
      </w:tr>
    </w:tbl>
    <w:p w14:paraId="6D3BFE2B" w14:textId="77777777" w:rsidR="00143365" w:rsidRPr="005C3B4E" w:rsidRDefault="00143365" w:rsidP="00143365">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3192AEAF" w14:textId="77777777" w:rsidR="00143365" w:rsidRDefault="00143365" w:rsidP="00143365">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63443B2D" w14:textId="77777777" w:rsidR="00143365" w:rsidRDefault="00143365" w:rsidP="00143365">
      <w:pPr>
        <w:pStyle w:val="p1"/>
        <w:rPr>
          <w:sz w:val="20"/>
          <w:szCs w:val="20"/>
        </w:rPr>
      </w:pPr>
      <w:r>
        <w:rPr>
          <w:sz w:val="20"/>
          <w:szCs w:val="20"/>
          <w:vertAlign w:val="superscript"/>
        </w:rPr>
        <w:t>3</w:t>
      </w:r>
      <w:r>
        <w:rPr>
          <w:sz w:val="20"/>
          <w:szCs w:val="20"/>
        </w:rPr>
        <w:t xml:space="preserve"> Provides risk management.  Stress fit score and/or return from 21 stress scenarios determined to be high</w:t>
      </w:r>
    </w:p>
    <w:p w14:paraId="4B9F11C0" w14:textId="77777777" w:rsidR="00143365" w:rsidRPr="005C3B4E" w:rsidRDefault="00143365" w:rsidP="00143365">
      <w:pPr>
        <w:pStyle w:val="p1"/>
        <w:rPr>
          <w:sz w:val="20"/>
          <w:szCs w:val="20"/>
        </w:rPr>
      </w:pPr>
      <w:r w:rsidRPr="00872D3E">
        <w:rPr>
          <w:sz w:val="20"/>
          <w:szCs w:val="20"/>
          <w:vertAlign w:val="superscript"/>
        </w:rPr>
        <w:t xml:space="preserve">4 </w:t>
      </w:r>
      <w:r>
        <w:rPr>
          <w:sz w:val="20"/>
          <w:szCs w:val="20"/>
        </w:rPr>
        <w:t>Price rose too quickly to acquire.</w:t>
      </w:r>
    </w:p>
    <w:p w14:paraId="3078DBE0" w14:textId="77777777" w:rsidR="00143365" w:rsidRPr="003B0CFD" w:rsidRDefault="00143365" w:rsidP="00143365">
      <w:pPr>
        <w:pStyle w:val="p1"/>
        <w:rPr>
          <w:sz w:val="21"/>
          <w:szCs w:val="21"/>
        </w:rPr>
      </w:pPr>
    </w:p>
    <w:p w14:paraId="2797F426" w14:textId="77777777" w:rsidR="00143365" w:rsidRDefault="00143365" w:rsidP="00143365">
      <w:pPr>
        <w:rPr>
          <w:b/>
          <w:bCs/>
        </w:rPr>
      </w:pPr>
      <w:r>
        <w:rPr>
          <w:b/>
          <w:bCs/>
        </w:rPr>
        <w:br w:type="page"/>
      </w:r>
    </w:p>
    <w:p w14:paraId="0B7E0C22" w14:textId="77777777" w:rsidR="00143365" w:rsidRPr="0090480D" w:rsidRDefault="00143365" w:rsidP="00143365">
      <w:pPr>
        <w:pStyle w:val="Heading3"/>
      </w:pPr>
      <w:r>
        <w:lastRenderedPageBreak/>
        <w:t>Communication</w:t>
      </w:r>
      <w:r w:rsidRPr="0090480D">
        <w:t xml:space="preserve"> Services Sector Outlook</w:t>
      </w:r>
      <w:r>
        <w:t>:</w:t>
      </w:r>
    </w:p>
    <w:p w14:paraId="7DA41BE9" w14:textId="77777777" w:rsidR="00143365" w:rsidRPr="0078494F" w:rsidRDefault="00143365" w:rsidP="00143365">
      <w:pPr>
        <w:pStyle w:val="p1"/>
      </w:pPr>
      <w:r>
        <w:t xml:space="preserve">In 2026, Communication Services strengthens into a more cash-flow-disciplined, AI-augmented, and increasingly consolidated sector, with returns concentrated in scale platforms that can monetize attention and connectivity under a higher-term-premium backdrop. Digital advertising is the primary engine: AI-driven targeting, creative generation, and automated campaign optimization lift margins even if ad volumes grow at a more measured pace, while election-related spend and the maturation of retail media and programmatic video reinforce the shift toward algorithmic, performance-based ad budgets. Media and streaming complete their pivot from “subscriber maximization” to unit-economics optimization—bundling, tiered pricing, and advertising-supported tiers (SVOD/AVOD/FAST) plus tighter content cost control—producing steadier, healthier profitability and incentivizing M&amp;A and platform integration to gain scale. Telecom remains the sector’s capital-heavy counterweight: operators pursue AI-native, self-managing networks to cut </w:t>
      </w:r>
      <w:proofErr w:type="spellStart"/>
      <w:r>
        <w:t>opex</w:t>
      </w:r>
      <w:proofErr w:type="spellEnd"/>
      <w:r>
        <w:t>, optimize energy use, and improve reliability, with differentiation increasingly tied to enterprise fiber, cloud-adjacent services, and disciplined capex rather than consumer pricing power. Regulation intensifies around data usage, content integrity, and AI-generated media (labeling, deepfakes, governance), raising compliance costs and reinforcing the advantage of incumbents that can absorb oversight overhead. Net: the sector’s upside is real but bifurcated—digital ad and large-scale platforms capture the cleanest AI leverage and margin expansion, streaming improves economically without returning to hyper-growth, and telecom provides stable but rate- and execution-sensitive exposure where winners are defined by balance-sheet strength, enterprise connectivity positioning, and operational excellence in constrained infrastructure environments.</w:t>
      </w:r>
    </w:p>
    <w:p w14:paraId="1BCFB641" w14:textId="77777777" w:rsidR="00143365" w:rsidRDefault="00143365" w:rsidP="00143365">
      <w:pPr>
        <w:spacing w:after="160" w:line="278" w:lineRule="auto"/>
        <w:rPr>
          <w:b/>
          <w:bCs/>
        </w:rPr>
      </w:pPr>
      <w:r>
        <w:rPr>
          <w:b/>
          <w:bCs/>
        </w:rPr>
        <w:br w:type="page"/>
      </w:r>
    </w:p>
    <w:p w14:paraId="0A8F91CA" w14:textId="77777777" w:rsidR="00143365" w:rsidRPr="00E5349B" w:rsidRDefault="00143365" w:rsidP="00143365">
      <w:pPr>
        <w:pStyle w:val="p3"/>
      </w:pPr>
      <w:r>
        <w:rPr>
          <w:b/>
          <w:bCs/>
        </w:rPr>
        <w:lastRenderedPageBreak/>
        <w:t>Top Communication Services companies positioned for 2026:</w:t>
      </w:r>
    </w:p>
    <w:tbl>
      <w:tblPr>
        <w:tblStyle w:val="ListTable4-Accent4"/>
        <w:tblW w:w="0" w:type="auto"/>
        <w:tblLook w:val="04A0" w:firstRow="1" w:lastRow="0" w:firstColumn="1" w:lastColumn="0" w:noHBand="0" w:noVBand="1"/>
      </w:tblPr>
      <w:tblGrid>
        <w:gridCol w:w="695"/>
        <w:gridCol w:w="960"/>
        <w:gridCol w:w="1494"/>
        <w:gridCol w:w="1304"/>
        <w:gridCol w:w="1209"/>
        <w:gridCol w:w="1533"/>
        <w:gridCol w:w="1260"/>
        <w:gridCol w:w="1255"/>
      </w:tblGrid>
      <w:tr w:rsidR="00143365" w:rsidRPr="007305A1" w14:paraId="34529C06"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D8B25F" w14:textId="77777777" w:rsidR="00143365" w:rsidRPr="007305A1" w:rsidRDefault="00143365" w:rsidP="0066444C">
            <w:pPr>
              <w:pStyle w:val="p1"/>
              <w:jc w:val="center"/>
              <w:rPr>
                <w:rFonts w:asciiTheme="minorHAnsi" w:hAnsiTheme="minorHAnsi"/>
                <w:szCs w:val="22"/>
              </w:rPr>
            </w:pPr>
            <w:r w:rsidRPr="007305A1">
              <w:rPr>
                <w:rFonts w:asciiTheme="minorHAnsi" w:hAnsiTheme="minorHAnsi"/>
                <w:b w:val="0"/>
                <w:bCs w:val="0"/>
                <w:szCs w:val="22"/>
              </w:rPr>
              <w:t>Rank</w:t>
            </w:r>
          </w:p>
        </w:tc>
        <w:tc>
          <w:tcPr>
            <w:tcW w:w="0" w:type="auto"/>
            <w:hideMark/>
          </w:tcPr>
          <w:p w14:paraId="543FC4FF"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Ticker</w:t>
            </w:r>
          </w:p>
        </w:tc>
        <w:tc>
          <w:tcPr>
            <w:tcW w:w="0" w:type="auto"/>
            <w:hideMark/>
          </w:tcPr>
          <w:p w14:paraId="2D75465A"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Company</w:t>
            </w:r>
          </w:p>
        </w:tc>
        <w:tc>
          <w:tcPr>
            <w:tcW w:w="0" w:type="auto"/>
            <w:hideMark/>
          </w:tcPr>
          <w:p w14:paraId="0718AAC3"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Top 5 Total Return (Y/N)</w:t>
            </w:r>
          </w:p>
        </w:tc>
        <w:tc>
          <w:tcPr>
            <w:tcW w:w="0" w:type="auto"/>
            <w:hideMark/>
          </w:tcPr>
          <w:p w14:paraId="585BB9EE"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Top 5 Thesis Fit (Y/N)</w:t>
            </w:r>
          </w:p>
        </w:tc>
        <w:tc>
          <w:tcPr>
            <w:tcW w:w="1533" w:type="dxa"/>
            <w:hideMark/>
          </w:tcPr>
          <w:p w14:paraId="51F8B70D"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Analyst 1-yr Target ($)</w:t>
            </w:r>
          </w:p>
        </w:tc>
        <w:tc>
          <w:tcPr>
            <w:tcW w:w="1260" w:type="dxa"/>
            <w:hideMark/>
          </w:tcPr>
          <w:p w14:paraId="4D935486"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Revised 1-Yr Target ($)</w:t>
            </w:r>
          </w:p>
        </w:tc>
        <w:tc>
          <w:tcPr>
            <w:tcW w:w="1255" w:type="dxa"/>
            <w:hideMark/>
          </w:tcPr>
          <w:p w14:paraId="281E7A9D" w14:textId="77777777" w:rsidR="00143365" w:rsidRPr="007305A1"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7305A1">
              <w:rPr>
                <w:rFonts w:asciiTheme="minorHAnsi" w:hAnsiTheme="minorHAnsi"/>
                <w:b w:val="0"/>
                <w:bCs w:val="0"/>
                <w:szCs w:val="22"/>
              </w:rPr>
              <w:t>Implied Total Return (%)</w:t>
            </w:r>
          </w:p>
        </w:tc>
      </w:tr>
      <w:tr w:rsidR="00143365" w:rsidRPr="007305A1" w14:paraId="227D2954"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8547D" w14:textId="77777777" w:rsidR="00143365" w:rsidRPr="007305A1" w:rsidRDefault="00143365" w:rsidP="0066444C">
            <w:pPr>
              <w:pStyle w:val="p1"/>
              <w:rPr>
                <w:rFonts w:asciiTheme="minorHAnsi" w:hAnsiTheme="minorHAnsi"/>
                <w:szCs w:val="22"/>
              </w:rPr>
            </w:pPr>
            <w:r>
              <w:rPr>
                <w:rFonts w:asciiTheme="minorHAnsi" w:hAnsiTheme="minorHAnsi"/>
                <w:szCs w:val="22"/>
              </w:rPr>
              <w:t>1</w:t>
            </w:r>
          </w:p>
        </w:tc>
        <w:tc>
          <w:tcPr>
            <w:tcW w:w="0" w:type="auto"/>
            <w:shd w:val="clear" w:color="auto" w:fill="B3E5A1" w:themeFill="accent6" w:themeFillTint="66"/>
            <w:hideMark/>
          </w:tcPr>
          <w:p w14:paraId="6C0E3618" w14:textId="77777777" w:rsidR="00143365" w:rsidRPr="00872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72D3E">
              <w:rPr>
                <w:rFonts w:asciiTheme="minorHAnsi" w:hAnsiTheme="minorHAnsi"/>
                <w:szCs w:val="22"/>
              </w:rPr>
              <w:t>META</w:t>
            </w:r>
          </w:p>
        </w:tc>
        <w:tc>
          <w:tcPr>
            <w:tcW w:w="0" w:type="auto"/>
            <w:hideMark/>
          </w:tcPr>
          <w:p w14:paraId="783E2C21" w14:textId="77777777" w:rsidR="00143365" w:rsidRPr="007305A1"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305A1">
              <w:rPr>
                <w:rFonts w:asciiTheme="minorHAnsi" w:hAnsiTheme="minorHAnsi"/>
                <w:szCs w:val="22"/>
              </w:rPr>
              <w:t>Meta Platforms</w:t>
            </w:r>
          </w:p>
        </w:tc>
        <w:tc>
          <w:tcPr>
            <w:tcW w:w="0" w:type="auto"/>
            <w:hideMark/>
          </w:tcPr>
          <w:p w14:paraId="042FE01C" w14:textId="77777777" w:rsidR="00143365" w:rsidRPr="007305A1"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305A1">
              <w:rPr>
                <w:rFonts w:asciiTheme="minorHAnsi" w:hAnsiTheme="minorHAnsi"/>
                <w:szCs w:val="22"/>
              </w:rPr>
              <w:t>Y</w:t>
            </w:r>
          </w:p>
        </w:tc>
        <w:tc>
          <w:tcPr>
            <w:tcW w:w="0" w:type="auto"/>
            <w:hideMark/>
          </w:tcPr>
          <w:p w14:paraId="3BB537DD"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0.93</w:t>
            </w:r>
          </w:p>
        </w:tc>
        <w:tc>
          <w:tcPr>
            <w:tcW w:w="1533" w:type="dxa"/>
            <w:hideMark/>
          </w:tcPr>
          <w:p w14:paraId="322CDAC6"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$655-$1117</w:t>
            </w:r>
          </w:p>
        </w:tc>
        <w:tc>
          <w:tcPr>
            <w:tcW w:w="1260" w:type="dxa"/>
            <w:hideMark/>
          </w:tcPr>
          <w:p w14:paraId="7DD1AE53"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$875</w:t>
            </w:r>
          </w:p>
        </w:tc>
        <w:tc>
          <w:tcPr>
            <w:tcW w:w="1255" w:type="dxa"/>
            <w:hideMark/>
          </w:tcPr>
          <w:p w14:paraId="7019A288"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34.5%</w:t>
            </w:r>
          </w:p>
        </w:tc>
      </w:tr>
      <w:tr w:rsidR="00143365" w:rsidRPr="007305A1" w14:paraId="4C3B11A5"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36A740FA" w14:textId="77777777" w:rsidR="00143365" w:rsidRPr="007305A1" w:rsidRDefault="00143365" w:rsidP="0066444C">
            <w:pPr>
              <w:pStyle w:val="p1"/>
              <w:rPr>
                <w:rFonts w:asciiTheme="minorHAnsi" w:hAnsiTheme="minorHAnsi"/>
                <w:b w:val="0"/>
                <w:bCs w:val="0"/>
                <w:szCs w:val="22"/>
              </w:rPr>
            </w:pPr>
            <w:r>
              <w:rPr>
                <w:rFonts w:asciiTheme="minorHAnsi" w:hAnsiTheme="minorHAnsi"/>
                <w:szCs w:val="22"/>
              </w:rPr>
              <w:t>2</w:t>
            </w:r>
          </w:p>
        </w:tc>
        <w:tc>
          <w:tcPr>
            <w:tcW w:w="0" w:type="auto"/>
            <w:shd w:val="clear" w:color="auto" w:fill="B3E5A1" w:themeFill="accent6" w:themeFillTint="66"/>
            <w:hideMark/>
          </w:tcPr>
          <w:p w14:paraId="497478E8" w14:textId="77777777" w:rsidR="00143365" w:rsidRPr="00872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872D3E">
              <w:rPr>
                <w:rFonts w:asciiTheme="minorHAnsi" w:hAnsiTheme="minorHAnsi"/>
                <w:szCs w:val="22"/>
              </w:rPr>
              <w:t>TTD</w:t>
            </w:r>
          </w:p>
        </w:tc>
        <w:tc>
          <w:tcPr>
            <w:tcW w:w="0" w:type="auto"/>
            <w:hideMark/>
          </w:tcPr>
          <w:p w14:paraId="144F3E11" w14:textId="77777777" w:rsidR="00143365" w:rsidRPr="007305A1"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305A1">
              <w:rPr>
                <w:rFonts w:asciiTheme="minorHAnsi" w:hAnsiTheme="minorHAnsi"/>
                <w:szCs w:val="22"/>
              </w:rPr>
              <w:t>Trade Desk</w:t>
            </w:r>
          </w:p>
        </w:tc>
        <w:tc>
          <w:tcPr>
            <w:tcW w:w="0" w:type="auto"/>
            <w:hideMark/>
          </w:tcPr>
          <w:p w14:paraId="3F0CC73A" w14:textId="77777777" w:rsidR="00143365" w:rsidRPr="007305A1"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305A1">
              <w:rPr>
                <w:rFonts w:asciiTheme="minorHAnsi" w:hAnsiTheme="minorHAnsi"/>
                <w:szCs w:val="22"/>
              </w:rPr>
              <w:t>Y</w:t>
            </w:r>
          </w:p>
        </w:tc>
        <w:tc>
          <w:tcPr>
            <w:tcW w:w="0" w:type="auto"/>
            <w:hideMark/>
          </w:tcPr>
          <w:p w14:paraId="6843C69F"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1533" w:type="dxa"/>
            <w:hideMark/>
          </w:tcPr>
          <w:p w14:paraId="0B27B7B4"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$40-$90</w:t>
            </w:r>
          </w:p>
        </w:tc>
        <w:tc>
          <w:tcPr>
            <w:tcW w:w="1260" w:type="dxa"/>
            <w:hideMark/>
          </w:tcPr>
          <w:p w14:paraId="0DBF2420"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$74</w:t>
            </w:r>
          </w:p>
        </w:tc>
        <w:tc>
          <w:tcPr>
            <w:tcW w:w="1255" w:type="dxa"/>
            <w:hideMark/>
          </w:tcPr>
          <w:p w14:paraId="78D987C9"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95.1%</w:t>
            </w:r>
          </w:p>
        </w:tc>
      </w:tr>
      <w:tr w:rsidR="00143365" w:rsidRPr="007305A1" w14:paraId="5E520493" w14:textId="77777777" w:rsidTr="00201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20C8E0" w14:textId="77777777" w:rsidR="00143365" w:rsidRPr="007305A1" w:rsidRDefault="00143365" w:rsidP="0066444C">
            <w:pPr>
              <w:pStyle w:val="p1"/>
              <w:rPr>
                <w:rFonts w:asciiTheme="minorHAnsi" w:hAnsiTheme="minorHAnsi"/>
                <w:szCs w:val="22"/>
              </w:rPr>
            </w:pPr>
            <w:r>
              <w:rPr>
                <w:rFonts w:asciiTheme="minorHAnsi" w:hAnsiTheme="minorHAnsi"/>
                <w:szCs w:val="22"/>
              </w:rPr>
              <w:t>3</w:t>
            </w:r>
          </w:p>
        </w:tc>
        <w:tc>
          <w:tcPr>
            <w:tcW w:w="0" w:type="auto"/>
            <w:shd w:val="clear" w:color="auto" w:fill="B3E5A1" w:themeFill="accent6" w:themeFillTint="66"/>
            <w:hideMark/>
          </w:tcPr>
          <w:p w14:paraId="31C6FC5D" w14:textId="77777777" w:rsidR="00143365" w:rsidRPr="00872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72D3E">
              <w:rPr>
                <w:rFonts w:asciiTheme="minorHAnsi" w:hAnsiTheme="minorHAnsi"/>
                <w:szCs w:val="22"/>
              </w:rPr>
              <w:t>TMUS</w:t>
            </w:r>
          </w:p>
        </w:tc>
        <w:tc>
          <w:tcPr>
            <w:tcW w:w="0" w:type="auto"/>
            <w:hideMark/>
          </w:tcPr>
          <w:p w14:paraId="39CC3E19" w14:textId="77777777" w:rsidR="00143365" w:rsidRPr="007305A1"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305A1">
              <w:rPr>
                <w:rFonts w:asciiTheme="minorHAnsi" w:hAnsiTheme="minorHAnsi"/>
                <w:szCs w:val="22"/>
              </w:rPr>
              <w:t>T-Mobile US</w:t>
            </w:r>
          </w:p>
        </w:tc>
        <w:tc>
          <w:tcPr>
            <w:tcW w:w="0" w:type="auto"/>
            <w:hideMark/>
          </w:tcPr>
          <w:p w14:paraId="6B771567" w14:textId="77777777" w:rsidR="00143365" w:rsidRPr="007305A1"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527D05D4"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0.84</w:t>
            </w:r>
          </w:p>
        </w:tc>
        <w:tc>
          <w:tcPr>
            <w:tcW w:w="1533" w:type="dxa"/>
            <w:hideMark/>
          </w:tcPr>
          <w:p w14:paraId="21558822"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$220-$310</w:t>
            </w:r>
          </w:p>
        </w:tc>
        <w:tc>
          <w:tcPr>
            <w:tcW w:w="1260" w:type="dxa"/>
            <w:hideMark/>
          </w:tcPr>
          <w:p w14:paraId="69544C54"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$269</w:t>
            </w:r>
          </w:p>
        </w:tc>
        <w:tc>
          <w:tcPr>
            <w:tcW w:w="1255" w:type="dxa"/>
            <w:hideMark/>
          </w:tcPr>
          <w:p w14:paraId="62011365"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34.8%</w:t>
            </w:r>
          </w:p>
        </w:tc>
      </w:tr>
      <w:tr w:rsidR="00143365" w:rsidRPr="007305A1" w14:paraId="58FABBF1" w14:textId="77777777" w:rsidTr="00087567">
        <w:tc>
          <w:tcPr>
            <w:cnfStyle w:val="001000000000" w:firstRow="0" w:lastRow="0" w:firstColumn="1" w:lastColumn="0" w:oddVBand="0" w:evenVBand="0" w:oddHBand="0" w:evenHBand="0" w:firstRowFirstColumn="0" w:firstRowLastColumn="0" w:lastRowFirstColumn="0" w:lastRowLastColumn="0"/>
            <w:tcW w:w="0" w:type="auto"/>
            <w:hideMark/>
          </w:tcPr>
          <w:p w14:paraId="0B86510D" w14:textId="77777777" w:rsidR="00143365" w:rsidRPr="007305A1" w:rsidRDefault="00143365" w:rsidP="0066444C">
            <w:pPr>
              <w:pStyle w:val="p1"/>
              <w:rPr>
                <w:rFonts w:asciiTheme="minorHAnsi" w:hAnsiTheme="minorHAnsi"/>
                <w:szCs w:val="22"/>
              </w:rPr>
            </w:pPr>
            <w:r>
              <w:rPr>
                <w:rFonts w:asciiTheme="minorHAnsi" w:hAnsiTheme="minorHAnsi"/>
                <w:szCs w:val="22"/>
              </w:rPr>
              <w:t>4</w:t>
            </w:r>
          </w:p>
        </w:tc>
        <w:tc>
          <w:tcPr>
            <w:tcW w:w="0" w:type="auto"/>
            <w:shd w:val="clear" w:color="auto" w:fill="B3E5A1" w:themeFill="accent6" w:themeFillTint="66"/>
            <w:hideMark/>
          </w:tcPr>
          <w:p w14:paraId="3AE00470" w14:textId="77777777" w:rsidR="00143365" w:rsidRPr="00872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872D3E">
              <w:rPr>
                <w:rFonts w:asciiTheme="minorHAnsi" w:hAnsiTheme="minorHAnsi"/>
                <w:szCs w:val="22"/>
              </w:rPr>
              <w:t>NFLX</w:t>
            </w:r>
          </w:p>
        </w:tc>
        <w:tc>
          <w:tcPr>
            <w:tcW w:w="0" w:type="auto"/>
            <w:hideMark/>
          </w:tcPr>
          <w:p w14:paraId="3F1716AD" w14:textId="77777777" w:rsidR="00143365" w:rsidRPr="007305A1"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Netflix</w:t>
            </w:r>
          </w:p>
        </w:tc>
        <w:tc>
          <w:tcPr>
            <w:tcW w:w="0" w:type="auto"/>
            <w:hideMark/>
          </w:tcPr>
          <w:p w14:paraId="73CDCA74" w14:textId="77777777" w:rsidR="00143365" w:rsidRPr="007305A1"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hideMark/>
          </w:tcPr>
          <w:p w14:paraId="38DCBBA7"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0.83</w:t>
            </w:r>
          </w:p>
        </w:tc>
        <w:tc>
          <w:tcPr>
            <w:tcW w:w="1533" w:type="dxa"/>
            <w:hideMark/>
          </w:tcPr>
          <w:p w14:paraId="0717C4B9"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$92-$153</w:t>
            </w:r>
          </w:p>
        </w:tc>
        <w:tc>
          <w:tcPr>
            <w:tcW w:w="1260" w:type="dxa"/>
            <w:hideMark/>
          </w:tcPr>
          <w:p w14:paraId="35E29286"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$133</w:t>
            </w:r>
          </w:p>
        </w:tc>
        <w:tc>
          <w:tcPr>
            <w:tcW w:w="1255" w:type="dxa"/>
            <w:hideMark/>
          </w:tcPr>
          <w:p w14:paraId="501BE3B0"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46.2%</w:t>
            </w:r>
          </w:p>
        </w:tc>
      </w:tr>
      <w:tr w:rsidR="00143365" w:rsidRPr="007305A1" w14:paraId="5537D0AE" w14:textId="77777777" w:rsidTr="00201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608E0B2" w14:textId="77777777" w:rsidR="00143365" w:rsidRDefault="00143365" w:rsidP="0066444C">
            <w:pPr>
              <w:pStyle w:val="p1"/>
              <w:rPr>
                <w:rFonts w:asciiTheme="minorHAnsi" w:hAnsiTheme="minorHAnsi"/>
                <w:szCs w:val="22"/>
              </w:rPr>
            </w:pPr>
            <w:r>
              <w:rPr>
                <w:rFonts w:asciiTheme="minorHAnsi" w:hAnsiTheme="minorHAnsi"/>
                <w:szCs w:val="22"/>
              </w:rPr>
              <w:t>5</w:t>
            </w:r>
          </w:p>
        </w:tc>
        <w:tc>
          <w:tcPr>
            <w:tcW w:w="0" w:type="auto"/>
            <w:shd w:val="clear" w:color="auto" w:fill="B3E5A1" w:themeFill="accent6" w:themeFillTint="66"/>
          </w:tcPr>
          <w:p w14:paraId="3DA0E5D4" w14:textId="77777777" w:rsidR="00143365" w:rsidRPr="00872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72D3E">
              <w:rPr>
                <w:rFonts w:asciiTheme="minorHAnsi" w:hAnsiTheme="minorHAnsi"/>
                <w:szCs w:val="22"/>
              </w:rPr>
              <w:t>CHTR</w:t>
            </w:r>
          </w:p>
        </w:tc>
        <w:tc>
          <w:tcPr>
            <w:tcW w:w="0" w:type="auto"/>
          </w:tcPr>
          <w:p w14:paraId="609DD5B3" w14:textId="77777777" w:rsidR="00143365" w:rsidRPr="007305A1"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Charter Comm.</w:t>
            </w:r>
          </w:p>
        </w:tc>
        <w:tc>
          <w:tcPr>
            <w:tcW w:w="0" w:type="auto"/>
          </w:tcPr>
          <w:p w14:paraId="221C0C25" w14:textId="77777777" w:rsidR="00143365"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Y</w:t>
            </w:r>
          </w:p>
        </w:tc>
        <w:tc>
          <w:tcPr>
            <w:tcW w:w="0" w:type="auto"/>
          </w:tcPr>
          <w:p w14:paraId="290AB24C"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0.72</w:t>
            </w:r>
          </w:p>
        </w:tc>
        <w:tc>
          <w:tcPr>
            <w:tcW w:w="1533" w:type="dxa"/>
          </w:tcPr>
          <w:p w14:paraId="1A66D2B2"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$165-$428</w:t>
            </w:r>
          </w:p>
        </w:tc>
        <w:tc>
          <w:tcPr>
            <w:tcW w:w="1260" w:type="dxa"/>
          </w:tcPr>
          <w:p w14:paraId="75ADBC45" w14:textId="77777777" w:rsidR="00143365" w:rsidRPr="009A244D"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highlight w:val="yellow"/>
              </w:rPr>
            </w:pPr>
            <w:r w:rsidRPr="00E76538">
              <w:rPr>
                <w:rFonts w:asciiTheme="minorHAnsi" w:hAnsiTheme="minorHAnsi"/>
                <w:szCs w:val="22"/>
              </w:rPr>
              <w:t>$293</w:t>
            </w:r>
          </w:p>
        </w:tc>
        <w:tc>
          <w:tcPr>
            <w:tcW w:w="1255" w:type="dxa"/>
          </w:tcPr>
          <w:p w14:paraId="251C9974" w14:textId="77777777" w:rsidR="00143365"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40.1%</w:t>
            </w:r>
          </w:p>
        </w:tc>
      </w:tr>
      <w:tr w:rsidR="00143365" w:rsidRPr="007305A1" w14:paraId="790E4C55" w14:textId="77777777" w:rsidTr="00201F2F">
        <w:tc>
          <w:tcPr>
            <w:cnfStyle w:val="001000000000" w:firstRow="0" w:lastRow="0" w:firstColumn="1" w:lastColumn="0" w:oddVBand="0" w:evenVBand="0" w:oddHBand="0" w:evenHBand="0" w:firstRowFirstColumn="0" w:firstRowLastColumn="0" w:lastRowFirstColumn="0" w:lastRowLastColumn="0"/>
            <w:tcW w:w="0" w:type="auto"/>
          </w:tcPr>
          <w:p w14:paraId="594D7F5F" w14:textId="77777777" w:rsidR="00143365" w:rsidRDefault="00143365" w:rsidP="0066444C">
            <w:pPr>
              <w:pStyle w:val="p1"/>
              <w:rPr>
                <w:rFonts w:asciiTheme="minorHAnsi" w:hAnsiTheme="minorHAnsi"/>
                <w:szCs w:val="22"/>
              </w:rPr>
            </w:pPr>
            <w:r>
              <w:rPr>
                <w:rFonts w:asciiTheme="minorHAnsi" w:hAnsiTheme="minorHAnsi"/>
                <w:szCs w:val="22"/>
              </w:rPr>
              <w:t>6</w:t>
            </w:r>
          </w:p>
        </w:tc>
        <w:tc>
          <w:tcPr>
            <w:tcW w:w="0" w:type="auto"/>
            <w:shd w:val="clear" w:color="auto" w:fill="B3E5A1" w:themeFill="accent6" w:themeFillTint="66"/>
          </w:tcPr>
          <w:p w14:paraId="0D1C4964" w14:textId="77777777" w:rsidR="00143365" w:rsidRPr="00872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872D3E">
              <w:rPr>
                <w:rFonts w:asciiTheme="minorHAnsi" w:hAnsiTheme="minorHAnsi"/>
                <w:szCs w:val="22"/>
              </w:rPr>
              <w:t>SPOT</w:t>
            </w:r>
          </w:p>
        </w:tc>
        <w:tc>
          <w:tcPr>
            <w:tcW w:w="0" w:type="auto"/>
          </w:tcPr>
          <w:p w14:paraId="113827B2" w14:textId="77777777" w:rsidR="00143365"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Spotify</w:t>
            </w:r>
          </w:p>
        </w:tc>
        <w:tc>
          <w:tcPr>
            <w:tcW w:w="0" w:type="auto"/>
          </w:tcPr>
          <w:p w14:paraId="32578B24" w14:textId="77777777" w:rsidR="00143365"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tcPr>
          <w:p w14:paraId="6381B5C0"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1533" w:type="dxa"/>
          </w:tcPr>
          <w:p w14:paraId="02266025"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$525-$900</w:t>
            </w:r>
          </w:p>
        </w:tc>
        <w:tc>
          <w:tcPr>
            <w:tcW w:w="1260" w:type="dxa"/>
          </w:tcPr>
          <w:p w14:paraId="1543134E"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$773</w:t>
            </w:r>
          </w:p>
        </w:tc>
        <w:tc>
          <w:tcPr>
            <w:tcW w:w="1255" w:type="dxa"/>
          </w:tcPr>
          <w:p w14:paraId="49486317" w14:textId="77777777" w:rsidR="00143365"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34.3%</w:t>
            </w:r>
          </w:p>
        </w:tc>
      </w:tr>
      <w:tr w:rsidR="00143365" w:rsidRPr="007305A1" w14:paraId="43604617"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93570F" w14:textId="77777777" w:rsidR="00143365" w:rsidRPr="007305A1" w:rsidRDefault="00143365" w:rsidP="0066444C">
            <w:pPr>
              <w:pStyle w:val="p1"/>
              <w:rPr>
                <w:rFonts w:asciiTheme="minorHAnsi" w:hAnsiTheme="minorHAnsi"/>
                <w:szCs w:val="22"/>
              </w:rPr>
            </w:pPr>
            <w:r>
              <w:rPr>
                <w:rFonts w:asciiTheme="minorHAnsi" w:hAnsiTheme="minorHAnsi"/>
                <w:szCs w:val="22"/>
              </w:rPr>
              <w:t>7</w:t>
            </w:r>
          </w:p>
        </w:tc>
        <w:tc>
          <w:tcPr>
            <w:tcW w:w="0" w:type="auto"/>
            <w:shd w:val="clear" w:color="auto" w:fill="B3E5A1" w:themeFill="accent6" w:themeFillTint="66"/>
            <w:hideMark/>
          </w:tcPr>
          <w:p w14:paraId="137FAFCC" w14:textId="77777777" w:rsidR="00143365" w:rsidRPr="00872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72D3E">
              <w:rPr>
                <w:rFonts w:asciiTheme="minorHAnsi" w:hAnsiTheme="minorHAnsi"/>
                <w:szCs w:val="22"/>
              </w:rPr>
              <w:t>GOOGL</w:t>
            </w:r>
          </w:p>
        </w:tc>
        <w:tc>
          <w:tcPr>
            <w:tcW w:w="0" w:type="auto"/>
            <w:hideMark/>
          </w:tcPr>
          <w:p w14:paraId="2487D451" w14:textId="77777777" w:rsidR="00143365" w:rsidRPr="007305A1"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305A1">
              <w:rPr>
                <w:rFonts w:asciiTheme="minorHAnsi" w:hAnsiTheme="minorHAnsi"/>
                <w:szCs w:val="22"/>
              </w:rPr>
              <w:t>Alphabet (Class A)</w:t>
            </w:r>
          </w:p>
        </w:tc>
        <w:tc>
          <w:tcPr>
            <w:tcW w:w="0" w:type="auto"/>
            <w:hideMark/>
          </w:tcPr>
          <w:p w14:paraId="09E8EB8A" w14:textId="77777777" w:rsidR="00143365" w:rsidRPr="007305A1"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47A0C4E1"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1533" w:type="dxa"/>
            <w:hideMark/>
          </w:tcPr>
          <w:p w14:paraId="7DADCAF8"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$236-$385</w:t>
            </w:r>
          </w:p>
        </w:tc>
        <w:tc>
          <w:tcPr>
            <w:tcW w:w="1260" w:type="dxa"/>
            <w:hideMark/>
          </w:tcPr>
          <w:p w14:paraId="0F508721"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$374</w:t>
            </w:r>
          </w:p>
        </w:tc>
        <w:tc>
          <w:tcPr>
            <w:tcW w:w="1255" w:type="dxa"/>
            <w:hideMark/>
          </w:tcPr>
          <w:p w14:paraId="1F5CBA35"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18.5%</w:t>
            </w:r>
          </w:p>
        </w:tc>
      </w:tr>
      <w:tr w:rsidR="00143365" w:rsidRPr="007305A1" w14:paraId="74E6B363"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5F6DBB18" w14:textId="77777777" w:rsidR="00143365" w:rsidRPr="007305A1" w:rsidRDefault="00143365" w:rsidP="0066444C">
            <w:pPr>
              <w:pStyle w:val="p1"/>
              <w:rPr>
                <w:rFonts w:asciiTheme="minorHAnsi" w:hAnsiTheme="minorHAnsi"/>
                <w:szCs w:val="22"/>
              </w:rPr>
            </w:pPr>
            <w:r>
              <w:rPr>
                <w:rFonts w:asciiTheme="minorHAnsi" w:hAnsiTheme="minorHAnsi"/>
                <w:szCs w:val="22"/>
              </w:rPr>
              <w:t>8</w:t>
            </w:r>
          </w:p>
        </w:tc>
        <w:tc>
          <w:tcPr>
            <w:tcW w:w="0" w:type="auto"/>
            <w:hideMark/>
          </w:tcPr>
          <w:p w14:paraId="0FAF604A" w14:textId="77777777" w:rsidR="00143365" w:rsidRPr="00872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872D3E">
              <w:rPr>
                <w:rFonts w:asciiTheme="minorHAnsi" w:hAnsiTheme="minorHAnsi"/>
                <w:szCs w:val="22"/>
              </w:rPr>
              <w:t>GOOG</w:t>
            </w:r>
          </w:p>
        </w:tc>
        <w:tc>
          <w:tcPr>
            <w:tcW w:w="0" w:type="auto"/>
            <w:hideMark/>
          </w:tcPr>
          <w:p w14:paraId="560D9ED2" w14:textId="77777777" w:rsidR="00143365" w:rsidRPr="007305A1"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305A1">
              <w:rPr>
                <w:rFonts w:asciiTheme="minorHAnsi" w:hAnsiTheme="minorHAnsi"/>
                <w:szCs w:val="22"/>
              </w:rPr>
              <w:t>Alphabet (Class C)</w:t>
            </w:r>
          </w:p>
        </w:tc>
        <w:tc>
          <w:tcPr>
            <w:tcW w:w="0" w:type="auto"/>
            <w:hideMark/>
          </w:tcPr>
          <w:p w14:paraId="6392B102" w14:textId="77777777" w:rsidR="00143365" w:rsidRPr="007305A1"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0D9D87F3"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0.92</w:t>
            </w:r>
          </w:p>
        </w:tc>
        <w:tc>
          <w:tcPr>
            <w:tcW w:w="1533" w:type="dxa"/>
            <w:hideMark/>
          </w:tcPr>
          <w:p w14:paraId="6F75302B"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$255-$400</w:t>
            </w:r>
          </w:p>
        </w:tc>
        <w:tc>
          <w:tcPr>
            <w:tcW w:w="1260" w:type="dxa"/>
            <w:hideMark/>
          </w:tcPr>
          <w:p w14:paraId="7DC5D8FA"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$360</w:t>
            </w:r>
          </w:p>
        </w:tc>
        <w:tc>
          <w:tcPr>
            <w:tcW w:w="1255" w:type="dxa"/>
            <w:hideMark/>
          </w:tcPr>
          <w:p w14:paraId="2A21FCA9"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14.2%</w:t>
            </w:r>
          </w:p>
        </w:tc>
      </w:tr>
      <w:tr w:rsidR="00143365" w:rsidRPr="007305A1" w14:paraId="125E19F8" w14:textId="77777777" w:rsidTr="00201F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7CCE8E" w14:textId="77777777" w:rsidR="00143365" w:rsidRPr="007305A1" w:rsidRDefault="00143365" w:rsidP="0066444C">
            <w:pPr>
              <w:pStyle w:val="p1"/>
              <w:rPr>
                <w:rFonts w:asciiTheme="minorHAnsi" w:hAnsiTheme="minorHAnsi"/>
                <w:szCs w:val="22"/>
              </w:rPr>
            </w:pPr>
            <w:r>
              <w:rPr>
                <w:rFonts w:asciiTheme="minorHAnsi" w:hAnsiTheme="minorHAnsi"/>
                <w:szCs w:val="22"/>
              </w:rPr>
              <w:t>9</w:t>
            </w:r>
          </w:p>
        </w:tc>
        <w:tc>
          <w:tcPr>
            <w:tcW w:w="0" w:type="auto"/>
            <w:shd w:val="clear" w:color="auto" w:fill="B3E5A1" w:themeFill="accent6" w:themeFillTint="66"/>
            <w:hideMark/>
          </w:tcPr>
          <w:p w14:paraId="3C0D0583" w14:textId="77777777" w:rsidR="00143365" w:rsidRPr="00872D3E"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872D3E">
              <w:rPr>
                <w:rFonts w:asciiTheme="minorHAnsi" w:hAnsiTheme="minorHAnsi"/>
                <w:szCs w:val="22"/>
              </w:rPr>
              <w:t>TTWO</w:t>
            </w:r>
          </w:p>
        </w:tc>
        <w:tc>
          <w:tcPr>
            <w:tcW w:w="0" w:type="auto"/>
            <w:hideMark/>
          </w:tcPr>
          <w:p w14:paraId="5A9949F4" w14:textId="77777777" w:rsidR="00143365" w:rsidRPr="007305A1"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7305A1">
              <w:rPr>
                <w:rFonts w:asciiTheme="minorHAnsi" w:hAnsiTheme="minorHAnsi"/>
                <w:szCs w:val="22"/>
              </w:rPr>
              <w:t>Take-Two Interactive</w:t>
            </w:r>
          </w:p>
        </w:tc>
        <w:tc>
          <w:tcPr>
            <w:tcW w:w="0" w:type="auto"/>
            <w:hideMark/>
          </w:tcPr>
          <w:p w14:paraId="45B70DE7" w14:textId="77777777" w:rsidR="00143365" w:rsidRPr="007305A1" w:rsidRDefault="00143365" w:rsidP="0066444C">
            <w:pPr>
              <w:pStyle w:val="p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1A9D1EDA"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0.85</w:t>
            </w:r>
          </w:p>
        </w:tc>
        <w:tc>
          <w:tcPr>
            <w:tcW w:w="1533" w:type="dxa"/>
            <w:hideMark/>
          </w:tcPr>
          <w:p w14:paraId="18B5530F"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$270-$300</w:t>
            </w:r>
          </w:p>
        </w:tc>
        <w:tc>
          <w:tcPr>
            <w:tcW w:w="1260" w:type="dxa"/>
            <w:hideMark/>
          </w:tcPr>
          <w:p w14:paraId="7F403352"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$283</w:t>
            </w:r>
          </w:p>
        </w:tc>
        <w:tc>
          <w:tcPr>
            <w:tcW w:w="1255" w:type="dxa"/>
            <w:hideMark/>
          </w:tcPr>
          <w:p w14:paraId="5CFDDEED" w14:textId="77777777" w:rsidR="00143365" w:rsidRPr="007305A1" w:rsidRDefault="00143365" w:rsidP="0066444C">
            <w:pPr>
              <w:pStyle w:val="p1"/>
              <w:jc w:val="right"/>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Pr>
                <w:rFonts w:asciiTheme="minorHAnsi" w:hAnsiTheme="minorHAnsi"/>
                <w:szCs w:val="22"/>
              </w:rPr>
              <w:t>12.3%</w:t>
            </w:r>
          </w:p>
        </w:tc>
      </w:tr>
      <w:tr w:rsidR="00143365" w:rsidRPr="007305A1" w14:paraId="3CBD4BE0" w14:textId="77777777" w:rsidTr="00201F2F">
        <w:tc>
          <w:tcPr>
            <w:cnfStyle w:val="001000000000" w:firstRow="0" w:lastRow="0" w:firstColumn="1" w:lastColumn="0" w:oddVBand="0" w:evenVBand="0" w:oddHBand="0" w:evenHBand="0" w:firstRowFirstColumn="0" w:firstRowLastColumn="0" w:lastRowFirstColumn="0" w:lastRowLastColumn="0"/>
            <w:tcW w:w="0" w:type="auto"/>
            <w:hideMark/>
          </w:tcPr>
          <w:p w14:paraId="3F16F9D7" w14:textId="77777777" w:rsidR="00143365" w:rsidRPr="007305A1" w:rsidRDefault="00143365" w:rsidP="0066444C">
            <w:pPr>
              <w:pStyle w:val="p1"/>
              <w:rPr>
                <w:rFonts w:asciiTheme="minorHAnsi" w:hAnsiTheme="minorHAnsi"/>
                <w:szCs w:val="22"/>
              </w:rPr>
            </w:pPr>
            <w:r>
              <w:rPr>
                <w:rFonts w:asciiTheme="minorHAnsi" w:hAnsiTheme="minorHAnsi"/>
                <w:szCs w:val="22"/>
              </w:rPr>
              <w:t>10</w:t>
            </w:r>
          </w:p>
        </w:tc>
        <w:tc>
          <w:tcPr>
            <w:tcW w:w="0" w:type="auto"/>
            <w:shd w:val="clear" w:color="auto" w:fill="B3E5A1" w:themeFill="accent6" w:themeFillTint="66"/>
            <w:hideMark/>
          </w:tcPr>
          <w:p w14:paraId="6F7B702A" w14:textId="77777777" w:rsidR="00143365" w:rsidRPr="00872D3E"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872D3E">
              <w:rPr>
                <w:rFonts w:asciiTheme="minorHAnsi" w:hAnsiTheme="minorHAnsi"/>
                <w:szCs w:val="22"/>
              </w:rPr>
              <w:t>LYV</w:t>
            </w:r>
          </w:p>
        </w:tc>
        <w:tc>
          <w:tcPr>
            <w:tcW w:w="0" w:type="auto"/>
            <w:hideMark/>
          </w:tcPr>
          <w:p w14:paraId="6D8AEAE6" w14:textId="77777777" w:rsidR="00143365" w:rsidRPr="007305A1"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7305A1">
              <w:rPr>
                <w:rFonts w:asciiTheme="minorHAnsi" w:hAnsiTheme="minorHAnsi"/>
                <w:szCs w:val="22"/>
              </w:rPr>
              <w:t>Live Nation</w:t>
            </w:r>
          </w:p>
        </w:tc>
        <w:tc>
          <w:tcPr>
            <w:tcW w:w="0" w:type="auto"/>
            <w:hideMark/>
          </w:tcPr>
          <w:p w14:paraId="05626C20" w14:textId="77777777" w:rsidR="00143365" w:rsidRPr="007305A1" w:rsidRDefault="00143365" w:rsidP="0066444C">
            <w:pPr>
              <w:pStyle w:val="p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N</w:t>
            </w:r>
          </w:p>
        </w:tc>
        <w:tc>
          <w:tcPr>
            <w:tcW w:w="0" w:type="auto"/>
            <w:hideMark/>
          </w:tcPr>
          <w:p w14:paraId="2BDAB0C3"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0.80</w:t>
            </w:r>
          </w:p>
        </w:tc>
        <w:tc>
          <w:tcPr>
            <w:tcW w:w="1533" w:type="dxa"/>
            <w:hideMark/>
          </w:tcPr>
          <w:p w14:paraId="7FBBF7F6"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$164-$190</w:t>
            </w:r>
          </w:p>
        </w:tc>
        <w:tc>
          <w:tcPr>
            <w:tcW w:w="1260" w:type="dxa"/>
            <w:hideMark/>
          </w:tcPr>
          <w:p w14:paraId="69249160"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$176</w:t>
            </w:r>
          </w:p>
        </w:tc>
        <w:tc>
          <w:tcPr>
            <w:tcW w:w="1255" w:type="dxa"/>
            <w:hideMark/>
          </w:tcPr>
          <w:p w14:paraId="3AE9F734" w14:textId="77777777" w:rsidR="00143365" w:rsidRPr="007305A1" w:rsidRDefault="00143365" w:rsidP="0066444C">
            <w:pPr>
              <w:pStyle w:val="p1"/>
              <w:jc w:val="right"/>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Pr>
                <w:rFonts w:asciiTheme="minorHAnsi" w:hAnsiTheme="minorHAnsi"/>
                <w:szCs w:val="22"/>
              </w:rPr>
              <w:t>21.1%</w:t>
            </w:r>
          </w:p>
        </w:tc>
      </w:tr>
    </w:tbl>
    <w:p w14:paraId="45149CE0" w14:textId="77777777" w:rsidR="00143365" w:rsidRPr="005C3B4E" w:rsidRDefault="00143365" w:rsidP="00143365">
      <w:pPr>
        <w:pStyle w:val="p1"/>
        <w:rPr>
          <w:sz w:val="20"/>
          <w:szCs w:val="20"/>
        </w:rPr>
      </w:pPr>
      <w:r w:rsidRPr="00DB3CED">
        <w:rPr>
          <w:sz w:val="20"/>
          <w:szCs w:val="20"/>
          <w:vertAlign w:val="superscript"/>
        </w:rPr>
        <w:t>1</w:t>
      </w:r>
      <w:r>
        <w:rPr>
          <w:sz w:val="20"/>
          <w:szCs w:val="20"/>
        </w:rPr>
        <w:t xml:space="preserve"> Ranked by 1) Top 5 return = “Y” + fit to thesis + 1-Yr Return, 2) Fit to thesis + 1-yr return</w:t>
      </w:r>
    </w:p>
    <w:p w14:paraId="42D328AC" w14:textId="77777777" w:rsidR="00143365" w:rsidRDefault="00143365" w:rsidP="00143365">
      <w:pPr>
        <w:pStyle w:val="p1"/>
        <w:rPr>
          <w:sz w:val="20"/>
          <w:szCs w:val="20"/>
        </w:rPr>
      </w:pPr>
      <w:r w:rsidRPr="00DB3CED">
        <w:rPr>
          <w:sz w:val="20"/>
          <w:szCs w:val="20"/>
          <w:vertAlign w:val="superscript"/>
        </w:rPr>
        <w:t>2</w:t>
      </w:r>
      <w:r>
        <w:rPr>
          <w:sz w:val="20"/>
          <w:szCs w:val="20"/>
        </w:rPr>
        <w:t xml:space="preserve"> Median of Gemini 3, Claude, Perplexity, ChatGPT, Grok, and the midpoint of the range provided on </w:t>
      </w:r>
      <w:proofErr w:type="spellStart"/>
      <w:r>
        <w:rPr>
          <w:sz w:val="20"/>
          <w:szCs w:val="20"/>
        </w:rPr>
        <w:t>TipRanks</w:t>
      </w:r>
      <w:proofErr w:type="spellEnd"/>
      <w:r>
        <w:rPr>
          <w:sz w:val="20"/>
          <w:szCs w:val="20"/>
        </w:rPr>
        <w:t>.  The latter data point was included to ground the AI predications.</w:t>
      </w:r>
    </w:p>
    <w:p w14:paraId="39CC2C85" w14:textId="77777777" w:rsidR="00143365" w:rsidRDefault="00143365" w:rsidP="00143365">
      <w:pPr>
        <w:pStyle w:val="p1"/>
      </w:pPr>
    </w:p>
    <w:p w14:paraId="68D4C294" w14:textId="77777777" w:rsidR="00143365" w:rsidRDefault="00143365" w:rsidP="00143365">
      <w:pPr>
        <w:spacing w:after="160" w:line="278" w:lineRule="auto"/>
        <w:rPr>
          <w:b/>
          <w:bCs/>
        </w:rPr>
      </w:pPr>
      <w:r>
        <w:rPr>
          <w:b/>
          <w:bCs/>
        </w:rPr>
        <w:br w:type="page"/>
      </w:r>
    </w:p>
    <w:p w14:paraId="4539A6EB" w14:textId="77777777" w:rsidR="00143365" w:rsidRPr="00FF792C" w:rsidRDefault="00143365" w:rsidP="00143365">
      <w:pPr>
        <w:pStyle w:val="Heading3"/>
      </w:pPr>
      <w:r w:rsidRPr="00FF792C">
        <w:lastRenderedPageBreak/>
        <w:t>Top 5 Sector Performance for 2026:</w:t>
      </w:r>
    </w:p>
    <w:p w14:paraId="4FC56893" w14:textId="77777777" w:rsidR="00143365" w:rsidRPr="00D17462" w:rsidRDefault="00143365" w:rsidP="00143365">
      <w:pPr>
        <w:pStyle w:val="p1"/>
      </w:pPr>
      <w:r>
        <w:t>T</w:t>
      </w:r>
      <w:r w:rsidRPr="00D17462">
        <w:t xml:space="preserve">he </w:t>
      </w:r>
      <w:r w:rsidRPr="00D17462">
        <w:rPr>
          <w:rStyle w:val="s1"/>
          <w:rFonts w:eastAsiaTheme="majorEastAsia"/>
        </w:rPr>
        <w:t>highest-conviction 2026 outperformer set</w:t>
      </w:r>
      <w:r w:rsidRPr="00D17462">
        <w:t xml:space="preserve"> converges on a single macro logic: </w:t>
      </w:r>
      <w:r w:rsidRPr="00D17462">
        <w:rPr>
          <w:rStyle w:val="s1"/>
          <w:rFonts w:eastAsiaTheme="majorEastAsia"/>
        </w:rPr>
        <w:t>AI deployment and the AI capex cycle</w:t>
      </w:r>
      <w:r w:rsidRPr="00D17462">
        <w:t xml:space="preserve"> remain the dominant growth impulse, but the </w:t>
      </w:r>
      <w:r w:rsidRPr="00D17462">
        <w:rPr>
          <w:i/>
          <w:iCs/>
        </w:rPr>
        <w:t>binding constraints</w:t>
      </w:r>
      <w:r w:rsidRPr="00D17462">
        <w:t xml:space="preserve"> (power, interconnection, supply chains, permitting, security, and cost of capital) determine where returns concentrate. In that regime, </w:t>
      </w:r>
      <w:r w:rsidRPr="00512D9E">
        <w:rPr>
          <w:rStyle w:val="s1"/>
          <w:rFonts w:eastAsiaTheme="majorEastAsia"/>
          <w:b/>
          <w:bCs/>
        </w:rPr>
        <w:t>Information Technology</w:t>
      </w:r>
      <w:r w:rsidRPr="00D17462">
        <w:t xml:space="preserve"> leads because it sits closest to the capex and productivity flywheel (semiconductors, AI infrastructure, and “AI-native” software/platforms), even as it carries the greatest risk of a choppy “mini-cycle” correction if buildouts overshoot ROI. </w:t>
      </w:r>
      <w:r w:rsidRPr="00512D9E">
        <w:rPr>
          <w:rStyle w:val="s1"/>
          <w:rFonts w:eastAsiaTheme="majorEastAsia"/>
          <w:b/>
          <w:bCs/>
        </w:rPr>
        <w:t>Industrials</w:t>
      </w:r>
      <w:r w:rsidRPr="00D17462">
        <w:t xml:space="preserve"> rank next because reshoring, defense, automation, and data-center construction translate the digital buildout into real-economy orders, with dispersion driven by execution under physical constraints. </w:t>
      </w:r>
      <w:r w:rsidRPr="00512D9E">
        <w:rPr>
          <w:rStyle w:val="s1"/>
          <w:rFonts w:eastAsiaTheme="majorEastAsia"/>
          <w:b/>
          <w:bCs/>
        </w:rPr>
        <w:t>Health Care</w:t>
      </w:r>
      <w:r w:rsidRPr="00D17462">
        <w:t xml:space="preserve"> remains an above-market compounder in this framework—defensive earnings plus demographic demand, with incremental upside from AI-enabled workflow efficiency and selective innovation—while still constrained by reimbursement discipline and payer scrutiny. </w:t>
      </w:r>
      <w:r w:rsidRPr="00512D9E">
        <w:rPr>
          <w:rStyle w:val="s1"/>
          <w:rFonts w:eastAsiaTheme="majorEastAsia"/>
          <w:b/>
          <w:bCs/>
        </w:rPr>
        <w:t>Communication Services</w:t>
      </w:r>
      <w:r w:rsidRPr="00D17462">
        <w:t xml:space="preserve"> rounds out the upper tier as AI improves ad targeting/measurement and streaming economics continue to rationalize, but gains remain concentrated in scale platforms with governance and monetization leverage. The </w:t>
      </w:r>
      <w:r w:rsidRPr="00D17462">
        <w:rPr>
          <w:rStyle w:val="s1"/>
          <w:rFonts w:eastAsiaTheme="majorEastAsia"/>
        </w:rPr>
        <w:t>fifth slot</w:t>
      </w:r>
      <w:r w:rsidRPr="00D17462">
        <w:t xml:space="preserve"> is best captured by </w:t>
      </w:r>
      <w:r w:rsidRPr="00512D9E">
        <w:rPr>
          <w:rStyle w:val="s1"/>
          <w:rFonts w:eastAsiaTheme="majorEastAsia"/>
          <w:b/>
          <w:bCs/>
        </w:rPr>
        <w:t>Utilities</w:t>
      </w:r>
      <w:r w:rsidRPr="00D17462">
        <w:t xml:space="preserve"> (narrowly ahead of </w:t>
      </w:r>
      <w:r w:rsidRPr="00512D9E">
        <w:rPr>
          <w:b/>
          <w:bCs/>
        </w:rPr>
        <w:t>Materials</w:t>
      </w:r>
      <w:r w:rsidRPr="00D17462">
        <w:t xml:space="preserve"> and </w:t>
      </w:r>
      <w:r w:rsidRPr="00512D9E">
        <w:rPr>
          <w:b/>
          <w:bCs/>
        </w:rPr>
        <w:t>Real Estate</w:t>
      </w:r>
      <w:r w:rsidRPr="00D17462">
        <w:t xml:space="preserve"> in consensus) because the grid becomes a growth bottleneck: load growth from data centers and electrification forces rate-base expansion and reliability capex, and winners are those with constructive regulation, credible build execution, and the right geography.</w:t>
      </w:r>
    </w:p>
    <w:p w14:paraId="6349BC1F" w14:textId="77777777" w:rsidR="00143365" w:rsidRDefault="00143365" w:rsidP="00143365">
      <w:pPr>
        <w:spacing w:after="160" w:line="278" w:lineRule="auto"/>
        <w:rPr>
          <w:rFonts w:eastAsiaTheme="majorEastAsia" w:cstheme="majorBidi"/>
          <w:color w:val="0F4761" w:themeColor="accent1" w:themeShade="BF"/>
          <w:sz w:val="28"/>
          <w:szCs w:val="28"/>
        </w:rPr>
      </w:pPr>
      <w:r>
        <w:br w:type="page"/>
      </w:r>
    </w:p>
    <w:p w14:paraId="1EC2E09C" w14:textId="77777777" w:rsidR="00143365" w:rsidRPr="0077240B" w:rsidRDefault="00143365" w:rsidP="00143365">
      <w:pPr>
        <w:pStyle w:val="Heading3"/>
      </w:pPr>
      <w:r w:rsidRPr="0077240B">
        <w:lastRenderedPageBreak/>
        <w:t>Top 5 ETFs for 2026 by highest forecasted return (thesis-driven)</w:t>
      </w:r>
    </w:p>
    <w:tbl>
      <w:tblPr>
        <w:tblStyle w:val="ListTable4-Accent4"/>
        <w:tblW w:w="0" w:type="auto"/>
        <w:tblLook w:val="04A0" w:firstRow="1" w:lastRow="0" w:firstColumn="1" w:lastColumn="0" w:noHBand="0" w:noVBand="1"/>
      </w:tblPr>
      <w:tblGrid>
        <w:gridCol w:w="695"/>
        <w:gridCol w:w="2403"/>
        <w:gridCol w:w="5097"/>
        <w:gridCol w:w="1515"/>
      </w:tblGrid>
      <w:tr w:rsidR="00143365" w:rsidRPr="000D72F9" w14:paraId="352CF62C" w14:textId="77777777" w:rsidTr="006644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2F7100" w14:textId="77777777" w:rsidR="00143365" w:rsidRPr="000D72F9" w:rsidRDefault="00143365" w:rsidP="0066444C">
            <w:pPr>
              <w:pStyle w:val="p1"/>
              <w:jc w:val="center"/>
              <w:rPr>
                <w:rFonts w:asciiTheme="minorHAnsi" w:hAnsiTheme="minorHAnsi"/>
                <w:szCs w:val="22"/>
              </w:rPr>
            </w:pPr>
            <w:r w:rsidRPr="000D72F9">
              <w:rPr>
                <w:rFonts w:asciiTheme="minorHAnsi" w:hAnsiTheme="minorHAnsi"/>
                <w:b w:val="0"/>
                <w:bCs w:val="0"/>
                <w:szCs w:val="22"/>
              </w:rPr>
              <w:t>Rank</w:t>
            </w:r>
          </w:p>
        </w:tc>
        <w:tc>
          <w:tcPr>
            <w:tcW w:w="0" w:type="auto"/>
            <w:hideMark/>
          </w:tcPr>
          <w:p w14:paraId="780EECE8" w14:textId="77777777" w:rsidR="00143365" w:rsidRPr="000D72F9"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0D72F9">
              <w:rPr>
                <w:rFonts w:asciiTheme="minorHAnsi" w:hAnsiTheme="minorHAnsi"/>
                <w:b w:val="0"/>
                <w:bCs w:val="0"/>
                <w:szCs w:val="22"/>
              </w:rPr>
              <w:t>ETF</w:t>
            </w:r>
          </w:p>
        </w:tc>
        <w:tc>
          <w:tcPr>
            <w:tcW w:w="0" w:type="auto"/>
            <w:hideMark/>
          </w:tcPr>
          <w:p w14:paraId="6FA36D4D" w14:textId="77777777" w:rsidR="00143365" w:rsidRPr="000D72F9"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0D72F9">
              <w:rPr>
                <w:rFonts w:asciiTheme="minorHAnsi" w:hAnsiTheme="minorHAnsi"/>
                <w:b w:val="0"/>
                <w:bCs w:val="0"/>
                <w:szCs w:val="22"/>
              </w:rPr>
              <w:t>Why it sits at the top in 2026 (macro-to-micro linkage)</w:t>
            </w:r>
          </w:p>
        </w:tc>
        <w:tc>
          <w:tcPr>
            <w:tcW w:w="0" w:type="auto"/>
            <w:hideMark/>
          </w:tcPr>
          <w:p w14:paraId="6BA507E6" w14:textId="77777777" w:rsidR="00143365" w:rsidRPr="000D72F9" w:rsidRDefault="00143365" w:rsidP="0066444C">
            <w:pPr>
              <w:pStyle w:val="p1"/>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Cs w:val="22"/>
              </w:rPr>
            </w:pPr>
            <w:r w:rsidRPr="000D72F9">
              <w:rPr>
                <w:rFonts w:asciiTheme="minorHAnsi" w:hAnsiTheme="minorHAnsi"/>
                <w:b w:val="0"/>
                <w:bCs w:val="0"/>
                <w:szCs w:val="22"/>
              </w:rPr>
              <w:t>Expected 2026 total return (range)</w:t>
            </w:r>
          </w:p>
        </w:tc>
      </w:tr>
      <w:tr w:rsidR="00143365" w:rsidRPr="000D72F9" w14:paraId="4B6EE9B1"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ECB3F4" w14:textId="77777777" w:rsidR="00143365" w:rsidRPr="000D72F9" w:rsidRDefault="00143365" w:rsidP="0066444C">
            <w:pPr>
              <w:pStyle w:val="p1"/>
              <w:rPr>
                <w:rFonts w:asciiTheme="minorHAnsi" w:hAnsiTheme="minorHAnsi"/>
                <w:b w:val="0"/>
                <w:bCs w:val="0"/>
                <w:szCs w:val="22"/>
              </w:rPr>
            </w:pPr>
            <w:r w:rsidRPr="000D72F9">
              <w:rPr>
                <w:rFonts w:asciiTheme="minorHAnsi" w:hAnsiTheme="minorHAnsi"/>
                <w:szCs w:val="22"/>
              </w:rPr>
              <w:t>1</w:t>
            </w:r>
          </w:p>
        </w:tc>
        <w:tc>
          <w:tcPr>
            <w:tcW w:w="0" w:type="auto"/>
            <w:hideMark/>
          </w:tcPr>
          <w:p w14:paraId="4BC0536F"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Style w:val="s1"/>
                <w:rFonts w:asciiTheme="minorHAnsi" w:eastAsiaTheme="majorEastAsia" w:hAnsiTheme="minorHAnsi"/>
                <w:b/>
                <w:bCs/>
                <w:szCs w:val="22"/>
              </w:rPr>
              <w:t>SOXX</w:t>
            </w:r>
            <w:r w:rsidRPr="000D72F9">
              <w:rPr>
                <w:rFonts w:asciiTheme="minorHAnsi" w:hAnsiTheme="minorHAnsi"/>
                <w:szCs w:val="22"/>
              </w:rPr>
              <w:t xml:space="preserve"> (iShares Semiconductor ETF)</w:t>
            </w:r>
          </w:p>
        </w:tc>
        <w:tc>
          <w:tcPr>
            <w:tcW w:w="0" w:type="auto"/>
            <w:hideMark/>
          </w:tcPr>
          <w:p w14:paraId="2C4DA137"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szCs w:val="22"/>
              </w:rPr>
              <w:t xml:space="preserve">Semis are the </w:t>
            </w:r>
            <w:r w:rsidRPr="000D72F9">
              <w:rPr>
                <w:rFonts w:asciiTheme="minorHAnsi" w:hAnsiTheme="minorHAnsi"/>
                <w:i/>
                <w:iCs/>
                <w:szCs w:val="22"/>
              </w:rPr>
              <w:t>binding input</w:t>
            </w:r>
            <w:r w:rsidRPr="000D72F9">
              <w:rPr>
                <w:rFonts w:asciiTheme="minorHAnsi" w:hAnsiTheme="minorHAnsi"/>
                <w:szCs w:val="22"/>
              </w:rPr>
              <w:t xml:space="preserve"> to the AI capex cycle (compute, memory, packaging, interconnect). If 2026 is still supply/energy constrained, the value accrues to the scarce throughput enablers.</w:t>
            </w:r>
            <w:r w:rsidRPr="000D72F9">
              <w:rPr>
                <w:rStyle w:val="apple-converted-space"/>
                <w:rFonts w:asciiTheme="minorHAnsi" w:eastAsiaTheme="majorEastAsia" w:hAnsiTheme="minorHAnsi"/>
                <w:szCs w:val="22"/>
              </w:rPr>
              <w:t xml:space="preserve">  </w:t>
            </w:r>
          </w:p>
        </w:tc>
        <w:tc>
          <w:tcPr>
            <w:tcW w:w="0" w:type="auto"/>
            <w:hideMark/>
          </w:tcPr>
          <w:p w14:paraId="392E974B"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b/>
                <w:bCs/>
                <w:szCs w:val="22"/>
              </w:rPr>
              <w:t>+15% to +30%</w:t>
            </w:r>
          </w:p>
        </w:tc>
      </w:tr>
      <w:tr w:rsidR="00143365" w:rsidRPr="000D72F9" w14:paraId="0F575FBF"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79081625" w14:textId="77777777" w:rsidR="00143365" w:rsidRPr="000D72F9" w:rsidRDefault="00143365" w:rsidP="0066444C">
            <w:pPr>
              <w:pStyle w:val="p1"/>
              <w:rPr>
                <w:rFonts w:asciiTheme="minorHAnsi" w:hAnsiTheme="minorHAnsi"/>
                <w:szCs w:val="22"/>
              </w:rPr>
            </w:pPr>
            <w:r w:rsidRPr="000D72F9">
              <w:rPr>
                <w:rFonts w:asciiTheme="minorHAnsi" w:hAnsiTheme="minorHAnsi"/>
                <w:szCs w:val="22"/>
              </w:rPr>
              <w:t>2</w:t>
            </w:r>
          </w:p>
        </w:tc>
        <w:tc>
          <w:tcPr>
            <w:tcW w:w="0" w:type="auto"/>
            <w:hideMark/>
          </w:tcPr>
          <w:p w14:paraId="46468A65"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Style w:val="s1"/>
                <w:rFonts w:asciiTheme="minorHAnsi" w:eastAsiaTheme="majorEastAsia" w:hAnsiTheme="minorHAnsi"/>
                <w:b/>
                <w:bCs/>
                <w:szCs w:val="22"/>
              </w:rPr>
              <w:t>VGT</w:t>
            </w:r>
            <w:r w:rsidRPr="000D72F9">
              <w:rPr>
                <w:rFonts w:asciiTheme="minorHAnsi" w:hAnsiTheme="minorHAnsi"/>
                <w:szCs w:val="22"/>
              </w:rPr>
              <w:t xml:space="preserve"> (Vanguard Information Technology ETF)</w:t>
            </w:r>
          </w:p>
        </w:tc>
        <w:tc>
          <w:tcPr>
            <w:tcW w:w="0" w:type="auto"/>
            <w:hideMark/>
          </w:tcPr>
          <w:p w14:paraId="1B380F66"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Fonts w:asciiTheme="minorHAnsi" w:hAnsiTheme="minorHAnsi"/>
                <w:szCs w:val="22"/>
              </w:rPr>
              <w:t>Broad “AI plumbing + enterprise deployment” basket: semis + software + IT services that monetize productivity gains, with less single-theme fragility than pure semis.</w:t>
            </w:r>
            <w:r w:rsidRPr="000D72F9">
              <w:rPr>
                <w:rStyle w:val="apple-converted-space"/>
                <w:rFonts w:asciiTheme="minorHAnsi" w:eastAsiaTheme="majorEastAsia" w:hAnsiTheme="minorHAnsi"/>
                <w:szCs w:val="22"/>
              </w:rPr>
              <w:t xml:space="preserve">  </w:t>
            </w:r>
          </w:p>
        </w:tc>
        <w:tc>
          <w:tcPr>
            <w:tcW w:w="0" w:type="auto"/>
            <w:hideMark/>
          </w:tcPr>
          <w:p w14:paraId="50B37334"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Fonts w:asciiTheme="minorHAnsi" w:hAnsiTheme="minorHAnsi"/>
                <w:b/>
                <w:bCs/>
                <w:szCs w:val="22"/>
              </w:rPr>
              <w:t>+12% to +22%</w:t>
            </w:r>
          </w:p>
        </w:tc>
      </w:tr>
      <w:tr w:rsidR="00143365" w:rsidRPr="000D72F9" w14:paraId="3898342C"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00CB4D" w14:textId="77777777" w:rsidR="00143365" w:rsidRPr="000D72F9" w:rsidRDefault="00143365" w:rsidP="0066444C">
            <w:pPr>
              <w:pStyle w:val="p1"/>
              <w:rPr>
                <w:rFonts w:asciiTheme="minorHAnsi" w:hAnsiTheme="minorHAnsi"/>
                <w:szCs w:val="22"/>
              </w:rPr>
            </w:pPr>
            <w:r w:rsidRPr="000D72F9">
              <w:rPr>
                <w:rFonts w:asciiTheme="minorHAnsi" w:hAnsiTheme="minorHAnsi"/>
                <w:szCs w:val="22"/>
              </w:rPr>
              <w:t>3</w:t>
            </w:r>
          </w:p>
        </w:tc>
        <w:tc>
          <w:tcPr>
            <w:tcW w:w="0" w:type="auto"/>
            <w:hideMark/>
          </w:tcPr>
          <w:p w14:paraId="07840332"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Style w:val="s1"/>
                <w:rFonts w:asciiTheme="minorHAnsi" w:eastAsiaTheme="majorEastAsia" w:hAnsiTheme="minorHAnsi"/>
                <w:b/>
                <w:bCs/>
                <w:szCs w:val="22"/>
              </w:rPr>
              <w:t>XLC</w:t>
            </w:r>
            <w:r w:rsidRPr="000D72F9">
              <w:rPr>
                <w:rFonts w:asciiTheme="minorHAnsi" w:hAnsiTheme="minorHAnsi"/>
                <w:szCs w:val="22"/>
              </w:rPr>
              <w:t xml:space="preserve"> (Communication Services Select Sector SPDR)</w:t>
            </w:r>
          </w:p>
        </w:tc>
        <w:tc>
          <w:tcPr>
            <w:tcW w:w="0" w:type="auto"/>
            <w:hideMark/>
          </w:tcPr>
          <w:p w14:paraId="6E7B4DCF"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szCs w:val="22"/>
              </w:rPr>
              <w:t>The sector’s profit engine is AI-optimized advertising + streaming rationalization (bundles/AVOD) — strong cash generation and margin expansion even without heroic GDP growth.</w:t>
            </w:r>
            <w:r w:rsidRPr="000D72F9">
              <w:rPr>
                <w:rStyle w:val="apple-converted-space"/>
                <w:rFonts w:asciiTheme="minorHAnsi" w:eastAsiaTheme="majorEastAsia" w:hAnsiTheme="minorHAnsi"/>
                <w:szCs w:val="22"/>
              </w:rPr>
              <w:t xml:space="preserve">  </w:t>
            </w:r>
          </w:p>
        </w:tc>
        <w:tc>
          <w:tcPr>
            <w:tcW w:w="0" w:type="auto"/>
            <w:hideMark/>
          </w:tcPr>
          <w:p w14:paraId="0B64E454"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b/>
                <w:bCs/>
                <w:szCs w:val="22"/>
              </w:rPr>
              <w:t>+8% to +16%</w:t>
            </w:r>
          </w:p>
        </w:tc>
      </w:tr>
      <w:tr w:rsidR="00143365" w:rsidRPr="000D72F9" w14:paraId="0F179D76" w14:textId="77777777" w:rsidTr="0066444C">
        <w:tc>
          <w:tcPr>
            <w:cnfStyle w:val="001000000000" w:firstRow="0" w:lastRow="0" w:firstColumn="1" w:lastColumn="0" w:oddVBand="0" w:evenVBand="0" w:oddHBand="0" w:evenHBand="0" w:firstRowFirstColumn="0" w:firstRowLastColumn="0" w:lastRowFirstColumn="0" w:lastRowLastColumn="0"/>
            <w:tcW w:w="0" w:type="auto"/>
            <w:hideMark/>
          </w:tcPr>
          <w:p w14:paraId="421644AA" w14:textId="77777777" w:rsidR="00143365" w:rsidRPr="000D72F9" w:rsidRDefault="00143365" w:rsidP="0066444C">
            <w:pPr>
              <w:pStyle w:val="p1"/>
              <w:rPr>
                <w:rFonts w:asciiTheme="minorHAnsi" w:hAnsiTheme="minorHAnsi"/>
                <w:szCs w:val="22"/>
              </w:rPr>
            </w:pPr>
            <w:r w:rsidRPr="000D72F9">
              <w:rPr>
                <w:rFonts w:asciiTheme="minorHAnsi" w:hAnsiTheme="minorHAnsi"/>
                <w:szCs w:val="22"/>
              </w:rPr>
              <w:t>4</w:t>
            </w:r>
          </w:p>
        </w:tc>
        <w:tc>
          <w:tcPr>
            <w:tcW w:w="0" w:type="auto"/>
            <w:hideMark/>
          </w:tcPr>
          <w:p w14:paraId="6B550EF0"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Style w:val="s1"/>
                <w:rFonts w:asciiTheme="minorHAnsi" w:eastAsiaTheme="majorEastAsia" w:hAnsiTheme="minorHAnsi"/>
                <w:b/>
                <w:bCs/>
                <w:szCs w:val="22"/>
              </w:rPr>
              <w:t>XLI</w:t>
            </w:r>
            <w:r w:rsidRPr="000D72F9">
              <w:rPr>
                <w:rFonts w:asciiTheme="minorHAnsi" w:hAnsiTheme="minorHAnsi"/>
                <w:szCs w:val="22"/>
              </w:rPr>
              <w:t xml:space="preserve"> (Industrial Select Sector SPDR)</w:t>
            </w:r>
          </w:p>
        </w:tc>
        <w:tc>
          <w:tcPr>
            <w:tcW w:w="0" w:type="auto"/>
            <w:hideMark/>
          </w:tcPr>
          <w:p w14:paraId="392AFD95"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Fonts w:asciiTheme="minorHAnsi" w:hAnsiTheme="minorHAnsi"/>
                <w:szCs w:val="22"/>
              </w:rPr>
              <w:t>Second-order beneficiary of the same AI buildout: data centers, grid/utility capex supply chains, reshoring, and defense-adjacent demand — “real-economy throughput” exposure.</w:t>
            </w:r>
            <w:r w:rsidRPr="000D72F9">
              <w:rPr>
                <w:rStyle w:val="apple-converted-space"/>
                <w:rFonts w:asciiTheme="minorHAnsi" w:eastAsiaTheme="majorEastAsia" w:hAnsiTheme="minorHAnsi"/>
                <w:szCs w:val="22"/>
              </w:rPr>
              <w:t xml:space="preserve">  </w:t>
            </w:r>
          </w:p>
        </w:tc>
        <w:tc>
          <w:tcPr>
            <w:tcW w:w="0" w:type="auto"/>
            <w:hideMark/>
          </w:tcPr>
          <w:p w14:paraId="414F024A" w14:textId="77777777" w:rsidR="00143365" w:rsidRPr="000D72F9" w:rsidRDefault="00143365" w:rsidP="0066444C">
            <w:pPr>
              <w:pStyle w:val="p1"/>
              <w:cnfStyle w:val="000000000000" w:firstRow="0" w:lastRow="0" w:firstColumn="0" w:lastColumn="0" w:oddVBand="0" w:evenVBand="0" w:oddHBand="0" w:evenHBand="0" w:firstRowFirstColumn="0" w:firstRowLastColumn="0" w:lastRowFirstColumn="0" w:lastRowLastColumn="0"/>
              <w:rPr>
                <w:rFonts w:asciiTheme="minorHAnsi" w:hAnsiTheme="minorHAnsi"/>
                <w:szCs w:val="22"/>
              </w:rPr>
            </w:pPr>
            <w:r w:rsidRPr="000D72F9">
              <w:rPr>
                <w:rFonts w:asciiTheme="minorHAnsi" w:hAnsiTheme="minorHAnsi"/>
                <w:b/>
                <w:bCs/>
                <w:szCs w:val="22"/>
              </w:rPr>
              <w:t>+8% to +16%</w:t>
            </w:r>
          </w:p>
        </w:tc>
      </w:tr>
      <w:tr w:rsidR="00143365" w:rsidRPr="000D72F9" w14:paraId="2BAE9BD6" w14:textId="77777777" w:rsidTr="00664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0083C6" w14:textId="77777777" w:rsidR="00143365" w:rsidRPr="000D72F9" w:rsidRDefault="00143365" w:rsidP="0066444C">
            <w:pPr>
              <w:pStyle w:val="p1"/>
              <w:rPr>
                <w:rFonts w:asciiTheme="minorHAnsi" w:hAnsiTheme="minorHAnsi"/>
                <w:szCs w:val="22"/>
              </w:rPr>
            </w:pPr>
            <w:r w:rsidRPr="000D72F9">
              <w:rPr>
                <w:rFonts w:asciiTheme="minorHAnsi" w:hAnsiTheme="minorHAnsi"/>
                <w:szCs w:val="22"/>
              </w:rPr>
              <w:t>5</w:t>
            </w:r>
          </w:p>
        </w:tc>
        <w:tc>
          <w:tcPr>
            <w:tcW w:w="0" w:type="auto"/>
            <w:hideMark/>
          </w:tcPr>
          <w:p w14:paraId="66CBF67A"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Style w:val="s1"/>
                <w:rFonts w:asciiTheme="minorHAnsi" w:eastAsiaTheme="majorEastAsia" w:hAnsiTheme="minorHAnsi"/>
                <w:b/>
                <w:bCs/>
                <w:szCs w:val="22"/>
              </w:rPr>
              <w:t>QQQM</w:t>
            </w:r>
            <w:r w:rsidRPr="000D72F9">
              <w:rPr>
                <w:rFonts w:asciiTheme="minorHAnsi" w:hAnsiTheme="minorHAnsi"/>
                <w:szCs w:val="22"/>
              </w:rPr>
              <w:t xml:space="preserve"> (Invesco NASDAQ 100 ETF)</w:t>
            </w:r>
          </w:p>
        </w:tc>
        <w:tc>
          <w:tcPr>
            <w:tcW w:w="0" w:type="auto"/>
            <w:hideMark/>
          </w:tcPr>
          <w:p w14:paraId="39BBA553"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szCs w:val="22"/>
              </w:rPr>
              <w:t xml:space="preserve">A concentrated “winner-take-most” wrapper: mega-cap platforms + AI infrastructure beneficiaries. It’s essentially a </w:t>
            </w:r>
            <w:r w:rsidRPr="000D72F9">
              <w:rPr>
                <w:rFonts w:asciiTheme="minorHAnsi" w:hAnsiTheme="minorHAnsi"/>
                <w:i/>
                <w:iCs/>
                <w:szCs w:val="22"/>
              </w:rPr>
              <w:t>high beta to the AI adoption + capex narrative</w:t>
            </w:r>
            <w:r w:rsidRPr="000D72F9">
              <w:rPr>
                <w:rFonts w:asciiTheme="minorHAnsi" w:hAnsiTheme="minorHAnsi"/>
                <w:szCs w:val="22"/>
              </w:rPr>
              <w:t xml:space="preserve"> (with higher drawdown risk if the mini-cycle wobbles).</w:t>
            </w:r>
          </w:p>
        </w:tc>
        <w:tc>
          <w:tcPr>
            <w:tcW w:w="0" w:type="auto"/>
            <w:hideMark/>
          </w:tcPr>
          <w:p w14:paraId="6EC2366B" w14:textId="77777777" w:rsidR="00143365" w:rsidRPr="000D72F9" w:rsidRDefault="00143365" w:rsidP="0066444C">
            <w:pPr>
              <w:pStyle w:val="p1"/>
              <w:cnfStyle w:val="000000100000" w:firstRow="0" w:lastRow="0" w:firstColumn="0" w:lastColumn="0" w:oddVBand="0" w:evenVBand="0" w:oddHBand="1" w:evenHBand="0" w:firstRowFirstColumn="0" w:firstRowLastColumn="0" w:lastRowFirstColumn="0" w:lastRowLastColumn="0"/>
              <w:rPr>
                <w:rFonts w:asciiTheme="minorHAnsi" w:hAnsiTheme="minorHAnsi"/>
                <w:szCs w:val="22"/>
              </w:rPr>
            </w:pPr>
            <w:r w:rsidRPr="000D72F9">
              <w:rPr>
                <w:rFonts w:asciiTheme="minorHAnsi" w:hAnsiTheme="minorHAnsi"/>
                <w:b/>
                <w:bCs/>
                <w:szCs w:val="22"/>
              </w:rPr>
              <w:t>+10% to +20%</w:t>
            </w:r>
          </w:p>
        </w:tc>
      </w:tr>
    </w:tbl>
    <w:p w14:paraId="649D290C" w14:textId="77777777" w:rsidR="00143365" w:rsidRPr="005C3B4E" w:rsidRDefault="00143365" w:rsidP="00143365">
      <w:pPr>
        <w:pStyle w:val="p1"/>
        <w:rPr>
          <w:sz w:val="20"/>
          <w:szCs w:val="20"/>
        </w:rPr>
      </w:pPr>
    </w:p>
    <w:p w14:paraId="7C3C960F" w14:textId="77777777" w:rsidR="00143365" w:rsidRDefault="00143365" w:rsidP="00143365">
      <w:pPr>
        <w:rPr>
          <w:b/>
          <w:bCs/>
          <w:kern w:val="36"/>
          <w:sz w:val="28"/>
          <w:szCs w:val="28"/>
        </w:rPr>
      </w:pPr>
      <w:r>
        <w:rPr>
          <w:b/>
          <w:bCs/>
          <w:kern w:val="36"/>
          <w:sz w:val="28"/>
          <w:szCs w:val="28"/>
        </w:rPr>
        <w:br w:type="page"/>
      </w:r>
    </w:p>
    <w:sectPr w:rsidR="00143365" w:rsidSect="00D8611D">
      <w:headerReference w:type="default" r:id="rId7"/>
      <w:footerReference w:type="even" r:id="rId8"/>
      <w:footerReference w:type="default" r:id="rId9"/>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B560" w14:textId="77777777" w:rsidR="00F35F45" w:rsidRDefault="00F35F45" w:rsidP="0045186B">
      <w:r>
        <w:separator/>
      </w:r>
    </w:p>
  </w:endnote>
  <w:endnote w:type="continuationSeparator" w:id="0">
    <w:p w14:paraId="6AD700DF" w14:textId="77777777" w:rsidR="00F35F45" w:rsidRDefault="00F35F45" w:rsidP="0045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8756289"/>
      <w:docPartObj>
        <w:docPartGallery w:val="Page Numbers (Bottom of Page)"/>
        <w:docPartUnique/>
      </w:docPartObj>
    </w:sdtPr>
    <w:sdtContent>
      <w:p w14:paraId="01AFB775" w14:textId="05FC2424" w:rsidR="00D8611D" w:rsidRDefault="00D8611D" w:rsidP="00FA15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99910283"/>
      <w:docPartObj>
        <w:docPartGallery w:val="Page Numbers (Bottom of Page)"/>
        <w:docPartUnique/>
      </w:docPartObj>
    </w:sdtPr>
    <w:sdtContent>
      <w:p w14:paraId="48151AB1" w14:textId="63D39BB4" w:rsidR="00D8611D" w:rsidRDefault="00D8611D" w:rsidP="00D8611D">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187EDFB" w14:textId="77777777" w:rsidR="0045186B" w:rsidRDefault="0045186B" w:rsidP="00D861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6233" w14:textId="68CC3F8F" w:rsidR="00D8611D" w:rsidRDefault="00D8611D" w:rsidP="00D8611D">
    <w:pPr>
      <w:pStyle w:val="Footer"/>
      <w:framePr w:wrap="none" w:vAnchor="text" w:hAnchor="margin" w:xAlign="right" w:y="1"/>
      <w:rPr>
        <w:rStyle w:val="PageNumber"/>
      </w:rPr>
    </w:pPr>
    <w:r>
      <w:rPr>
        <w:rStyle w:val="PageNumber"/>
      </w:rPr>
      <w:t xml:space="preserve">Page </w:t>
    </w:r>
    <w:sdt>
      <w:sdtPr>
        <w:rPr>
          <w:rStyle w:val="PageNumber"/>
        </w:rPr>
        <w:id w:val="703133156"/>
        <w:docPartObj>
          <w:docPartGallery w:val="Page Numbers (Bottom of Page)"/>
          <w:docPartUnique/>
        </w:docPartObj>
      </w:sdtPr>
      <w:sdtContent>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sdtContent>
    </w:sdt>
  </w:p>
  <w:p w14:paraId="665837F3" w14:textId="7FF43314" w:rsidR="00D8611D" w:rsidRDefault="00D8611D" w:rsidP="00D8611D">
    <w:pPr>
      <w:tabs>
        <w:tab w:val="right" w:pos="963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6803B" w14:textId="77777777" w:rsidR="00F35F45" w:rsidRDefault="00F35F45" w:rsidP="0045186B">
      <w:r>
        <w:separator/>
      </w:r>
    </w:p>
  </w:footnote>
  <w:footnote w:type="continuationSeparator" w:id="0">
    <w:p w14:paraId="3993CE56" w14:textId="77777777" w:rsidR="00F35F45" w:rsidRDefault="00F35F45" w:rsidP="0045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9464" w14:textId="5B6B553C" w:rsidR="0045186B" w:rsidRDefault="0045186B" w:rsidP="008E71B9">
    <w:pPr>
      <w:tabs>
        <w:tab w:val="left" w:pos="3600"/>
      </w:tabs>
      <w:ind w:right="360"/>
      <w:jc w:val="right"/>
    </w:pPr>
    <w:r w:rsidRPr="00AC2D33">
      <w:rPr>
        <w:rFonts w:asciiTheme="minorHAnsi" w:hAnsiTheme="minorHAnsi"/>
      </w:rPr>
      <w:t>2026</w:t>
    </w:r>
    <w:r w:rsidR="00AC2D33" w:rsidRPr="00AC2D33">
      <w:rPr>
        <w:rFonts w:asciiTheme="minorHAnsi" w:hAnsiTheme="minorHAnsi"/>
      </w:rPr>
      <w:t xml:space="preserve"> Thesis</w:t>
    </w:r>
    <w:r>
      <w:tab/>
    </w:r>
    <w:r w:rsidRPr="00AC2D33">
      <w:rPr>
        <w:rFonts w:asciiTheme="minorHAnsi" w:hAnsiTheme="minorHAnsi"/>
      </w:rPr>
      <w:tab/>
    </w:r>
    <w:r w:rsidR="003B6B7A">
      <w:rPr>
        <w:rFonts w:asciiTheme="minorHAnsi" w:hAnsiTheme="minorHAnsi"/>
      </w:rPr>
      <w:t>2</w:t>
    </w:r>
    <w:r w:rsidR="00D8611D" w:rsidRPr="00AC2D33">
      <w:rPr>
        <w:rFonts w:asciiTheme="minorHAnsi" w:hAnsiTheme="minorHAnsi"/>
      </w:rPr>
      <w:t>/</w:t>
    </w:r>
    <w:r w:rsidR="00E93A9E">
      <w:rPr>
        <w:rFonts w:asciiTheme="minorHAnsi" w:hAnsiTheme="minorHAnsi"/>
      </w:rPr>
      <w:t>20</w:t>
    </w:r>
    <w:r w:rsidR="00D8611D" w:rsidRPr="00AC2D33">
      <w:rPr>
        <w:rFonts w:asciiTheme="minorHAnsi" w:hAnsiTheme="minorHAnsi"/>
      </w:rPr>
      <w:t>/</w:t>
    </w:r>
    <w:r w:rsidRPr="00AC2D33">
      <w:rPr>
        <w:rFonts w:asciiTheme="minorHAnsi" w:hAnsiTheme="minorHAnsi"/>
      </w:rPr>
      <w:t>202</w:t>
    </w:r>
    <w:r w:rsidR="00A4476C">
      <w:rPr>
        <w:rFonts w:asciiTheme="minorHAnsi" w:hAnsiTheme="minorHAnsi"/>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4D5"/>
    <w:multiLevelType w:val="multilevel"/>
    <w:tmpl w:val="2748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76E1F"/>
    <w:multiLevelType w:val="multilevel"/>
    <w:tmpl w:val="DC24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255D"/>
    <w:multiLevelType w:val="multilevel"/>
    <w:tmpl w:val="423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15C35"/>
    <w:multiLevelType w:val="multilevel"/>
    <w:tmpl w:val="484A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B1A98"/>
    <w:multiLevelType w:val="multilevel"/>
    <w:tmpl w:val="C9DE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3C61DF"/>
    <w:multiLevelType w:val="multilevel"/>
    <w:tmpl w:val="FD6E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032C7"/>
    <w:multiLevelType w:val="multilevel"/>
    <w:tmpl w:val="94BED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7708B1"/>
    <w:multiLevelType w:val="multilevel"/>
    <w:tmpl w:val="20A4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9028E"/>
    <w:multiLevelType w:val="hybridMultilevel"/>
    <w:tmpl w:val="70BA2C14"/>
    <w:lvl w:ilvl="0" w:tplc="AFDE5B8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21DF0"/>
    <w:multiLevelType w:val="multilevel"/>
    <w:tmpl w:val="71F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F321F"/>
    <w:multiLevelType w:val="multilevel"/>
    <w:tmpl w:val="21B8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F6143"/>
    <w:multiLevelType w:val="multilevel"/>
    <w:tmpl w:val="3B40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6A13C0"/>
    <w:multiLevelType w:val="multilevel"/>
    <w:tmpl w:val="AC748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05DC6"/>
    <w:multiLevelType w:val="multilevel"/>
    <w:tmpl w:val="58FE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A746E5"/>
    <w:multiLevelType w:val="multilevel"/>
    <w:tmpl w:val="FAFC4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A27A9"/>
    <w:multiLevelType w:val="multilevel"/>
    <w:tmpl w:val="6D281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729FD"/>
    <w:multiLevelType w:val="hybridMultilevel"/>
    <w:tmpl w:val="0EF6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BE3C30"/>
    <w:multiLevelType w:val="multilevel"/>
    <w:tmpl w:val="71B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F56956"/>
    <w:multiLevelType w:val="multilevel"/>
    <w:tmpl w:val="9808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5B41C8"/>
    <w:multiLevelType w:val="hybridMultilevel"/>
    <w:tmpl w:val="DDB8834C"/>
    <w:lvl w:ilvl="0" w:tplc="AFDE5B8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AA46B1E"/>
    <w:multiLevelType w:val="multilevel"/>
    <w:tmpl w:val="4C86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C953CB"/>
    <w:multiLevelType w:val="multilevel"/>
    <w:tmpl w:val="B43C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055752"/>
    <w:multiLevelType w:val="multilevel"/>
    <w:tmpl w:val="48E8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9085A"/>
    <w:multiLevelType w:val="multilevel"/>
    <w:tmpl w:val="3018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4848F6"/>
    <w:multiLevelType w:val="multilevel"/>
    <w:tmpl w:val="785C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2053E"/>
    <w:multiLevelType w:val="hybridMultilevel"/>
    <w:tmpl w:val="7A18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03A6D"/>
    <w:multiLevelType w:val="multilevel"/>
    <w:tmpl w:val="51046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3A69B0"/>
    <w:multiLevelType w:val="multilevel"/>
    <w:tmpl w:val="A784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17D62"/>
    <w:multiLevelType w:val="hybridMultilevel"/>
    <w:tmpl w:val="495A645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1B6513"/>
    <w:multiLevelType w:val="multilevel"/>
    <w:tmpl w:val="D0FA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2C71AD"/>
    <w:multiLevelType w:val="hybridMultilevel"/>
    <w:tmpl w:val="A26A5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22F87"/>
    <w:multiLevelType w:val="multilevel"/>
    <w:tmpl w:val="1EDC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EB6E5D"/>
    <w:multiLevelType w:val="multilevel"/>
    <w:tmpl w:val="47FC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AC425B"/>
    <w:multiLevelType w:val="multilevel"/>
    <w:tmpl w:val="9DA0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F80258"/>
    <w:multiLevelType w:val="multilevel"/>
    <w:tmpl w:val="2DDA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31091A"/>
    <w:multiLevelType w:val="multilevel"/>
    <w:tmpl w:val="B27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EA42A7"/>
    <w:multiLevelType w:val="multilevel"/>
    <w:tmpl w:val="701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936322"/>
    <w:multiLevelType w:val="multilevel"/>
    <w:tmpl w:val="C616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325730"/>
    <w:multiLevelType w:val="multilevel"/>
    <w:tmpl w:val="0EDA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E15FB1"/>
    <w:multiLevelType w:val="multilevel"/>
    <w:tmpl w:val="BA8C3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5D0741"/>
    <w:multiLevelType w:val="multilevel"/>
    <w:tmpl w:val="E95C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D15784"/>
    <w:multiLevelType w:val="multilevel"/>
    <w:tmpl w:val="360A8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43E61A3"/>
    <w:multiLevelType w:val="multilevel"/>
    <w:tmpl w:val="0EAC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2861E3"/>
    <w:multiLevelType w:val="multilevel"/>
    <w:tmpl w:val="2552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64C49F3"/>
    <w:multiLevelType w:val="multilevel"/>
    <w:tmpl w:val="5CD4C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691286E"/>
    <w:multiLevelType w:val="multilevel"/>
    <w:tmpl w:val="9730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6C31478"/>
    <w:multiLevelType w:val="hybridMultilevel"/>
    <w:tmpl w:val="F9888A58"/>
    <w:lvl w:ilvl="0" w:tplc="AFDE5B8E">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F10BAB"/>
    <w:multiLevelType w:val="multilevel"/>
    <w:tmpl w:val="A34A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F82F7D"/>
    <w:multiLevelType w:val="multilevel"/>
    <w:tmpl w:val="3A008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C03781F"/>
    <w:multiLevelType w:val="multilevel"/>
    <w:tmpl w:val="2E84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C803AE4"/>
    <w:multiLevelType w:val="multilevel"/>
    <w:tmpl w:val="FD84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DD2D7C"/>
    <w:multiLevelType w:val="multilevel"/>
    <w:tmpl w:val="69D8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CE97BB1"/>
    <w:multiLevelType w:val="multilevel"/>
    <w:tmpl w:val="EE10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D6E5F20"/>
    <w:multiLevelType w:val="multilevel"/>
    <w:tmpl w:val="31EE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E8663A0"/>
    <w:multiLevelType w:val="multilevel"/>
    <w:tmpl w:val="6EAC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DC2C10"/>
    <w:multiLevelType w:val="multilevel"/>
    <w:tmpl w:val="20A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6677E6"/>
    <w:multiLevelType w:val="multilevel"/>
    <w:tmpl w:val="059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C47ACB"/>
    <w:multiLevelType w:val="multilevel"/>
    <w:tmpl w:val="3448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5004795"/>
    <w:multiLevelType w:val="multilevel"/>
    <w:tmpl w:val="CA7C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7F6696"/>
    <w:multiLevelType w:val="multilevel"/>
    <w:tmpl w:val="D13A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A95785"/>
    <w:multiLevelType w:val="multilevel"/>
    <w:tmpl w:val="9C5E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4F134A"/>
    <w:multiLevelType w:val="multilevel"/>
    <w:tmpl w:val="6F62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A4D3611"/>
    <w:multiLevelType w:val="multilevel"/>
    <w:tmpl w:val="F166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EF63E0"/>
    <w:multiLevelType w:val="multilevel"/>
    <w:tmpl w:val="8322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681563"/>
    <w:multiLevelType w:val="hybridMultilevel"/>
    <w:tmpl w:val="496E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454475">
    <w:abstractNumId w:val="43"/>
  </w:num>
  <w:num w:numId="2" w16cid:durableId="484664789">
    <w:abstractNumId w:val="52"/>
  </w:num>
  <w:num w:numId="3" w16cid:durableId="1222598557">
    <w:abstractNumId w:val="56"/>
  </w:num>
  <w:num w:numId="4" w16cid:durableId="1078407163">
    <w:abstractNumId w:val="45"/>
  </w:num>
  <w:num w:numId="5" w16cid:durableId="469177454">
    <w:abstractNumId w:val="38"/>
  </w:num>
  <w:num w:numId="6" w16cid:durableId="923494612">
    <w:abstractNumId w:val="60"/>
  </w:num>
  <w:num w:numId="7" w16cid:durableId="132187294">
    <w:abstractNumId w:val="31"/>
  </w:num>
  <w:num w:numId="8" w16cid:durableId="1784690148">
    <w:abstractNumId w:val="34"/>
  </w:num>
  <w:num w:numId="9" w16cid:durableId="46540668">
    <w:abstractNumId w:val="15"/>
  </w:num>
  <w:num w:numId="10" w16cid:durableId="847330942">
    <w:abstractNumId w:val="48"/>
  </w:num>
  <w:num w:numId="11" w16cid:durableId="1656375631">
    <w:abstractNumId w:val="9"/>
  </w:num>
  <w:num w:numId="12" w16cid:durableId="1143276292">
    <w:abstractNumId w:val="14"/>
  </w:num>
  <w:num w:numId="13" w16cid:durableId="1175456150">
    <w:abstractNumId w:val="32"/>
  </w:num>
  <w:num w:numId="14" w16cid:durableId="1110853030">
    <w:abstractNumId w:val="55"/>
  </w:num>
  <w:num w:numId="15" w16cid:durableId="939726125">
    <w:abstractNumId w:val="21"/>
  </w:num>
  <w:num w:numId="16" w16cid:durableId="878510228">
    <w:abstractNumId w:val="1"/>
  </w:num>
  <w:num w:numId="17" w16cid:durableId="1562640919">
    <w:abstractNumId w:val="41"/>
  </w:num>
  <w:num w:numId="18" w16cid:durableId="178127393">
    <w:abstractNumId w:val="51"/>
  </w:num>
  <w:num w:numId="19" w16cid:durableId="2120106145">
    <w:abstractNumId w:val="44"/>
  </w:num>
  <w:num w:numId="20" w16cid:durableId="1123841024">
    <w:abstractNumId w:val="22"/>
  </w:num>
  <w:num w:numId="21" w16cid:durableId="1725062089">
    <w:abstractNumId w:val="47"/>
  </w:num>
  <w:num w:numId="22" w16cid:durableId="789007183">
    <w:abstractNumId w:val="49"/>
  </w:num>
  <w:num w:numId="23" w16cid:durableId="1307511431">
    <w:abstractNumId w:val="50"/>
  </w:num>
  <w:num w:numId="24" w16cid:durableId="665669215">
    <w:abstractNumId w:val="5"/>
  </w:num>
  <w:num w:numId="25" w16cid:durableId="530804940">
    <w:abstractNumId w:val="64"/>
  </w:num>
  <w:num w:numId="26" w16cid:durableId="123353796">
    <w:abstractNumId w:val="26"/>
  </w:num>
  <w:num w:numId="27" w16cid:durableId="1950702802">
    <w:abstractNumId w:val="10"/>
  </w:num>
  <w:num w:numId="28" w16cid:durableId="1514101302">
    <w:abstractNumId w:val="59"/>
  </w:num>
  <w:num w:numId="29" w16cid:durableId="895624059">
    <w:abstractNumId w:val="4"/>
  </w:num>
  <w:num w:numId="30" w16cid:durableId="159666164">
    <w:abstractNumId w:val="17"/>
  </w:num>
  <w:num w:numId="31" w16cid:durableId="47145700">
    <w:abstractNumId w:val="61"/>
  </w:num>
  <w:num w:numId="32" w16cid:durableId="1716612889">
    <w:abstractNumId w:val="29"/>
  </w:num>
  <w:num w:numId="33" w16cid:durableId="1926114201">
    <w:abstractNumId w:val="33"/>
  </w:num>
  <w:num w:numId="34" w16cid:durableId="515773473">
    <w:abstractNumId w:val="24"/>
  </w:num>
  <w:num w:numId="35" w16cid:durableId="1318806680">
    <w:abstractNumId w:val="40"/>
  </w:num>
  <w:num w:numId="36" w16cid:durableId="667638491">
    <w:abstractNumId w:val="62"/>
  </w:num>
  <w:num w:numId="37" w16cid:durableId="2100982652">
    <w:abstractNumId w:val="7"/>
  </w:num>
  <w:num w:numId="38" w16cid:durableId="1364987249">
    <w:abstractNumId w:val="11"/>
  </w:num>
  <w:num w:numId="39" w16cid:durableId="1229459481">
    <w:abstractNumId w:val="53"/>
  </w:num>
  <w:num w:numId="40" w16cid:durableId="2064450529">
    <w:abstractNumId w:val="63"/>
  </w:num>
  <w:num w:numId="41" w16cid:durableId="518667118">
    <w:abstractNumId w:val="2"/>
  </w:num>
  <w:num w:numId="42" w16cid:durableId="1441756460">
    <w:abstractNumId w:val="13"/>
  </w:num>
  <w:num w:numId="43" w16cid:durableId="1903060575">
    <w:abstractNumId w:val="54"/>
  </w:num>
  <w:num w:numId="44" w16cid:durableId="1874465908">
    <w:abstractNumId w:val="30"/>
  </w:num>
  <w:num w:numId="45" w16cid:durableId="886717541">
    <w:abstractNumId w:val="16"/>
  </w:num>
  <w:num w:numId="46" w16cid:durableId="1504658956">
    <w:abstractNumId w:val="3"/>
  </w:num>
  <w:num w:numId="47" w16cid:durableId="116804375">
    <w:abstractNumId w:val="23"/>
  </w:num>
  <w:num w:numId="48" w16cid:durableId="1610426797">
    <w:abstractNumId w:val="42"/>
  </w:num>
  <w:num w:numId="49" w16cid:durableId="1920019164">
    <w:abstractNumId w:val="6"/>
  </w:num>
  <w:num w:numId="50" w16cid:durableId="331029860">
    <w:abstractNumId w:val="58"/>
  </w:num>
  <w:num w:numId="51" w16cid:durableId="1481966885">
    <w:abstractNumId w:val="12"/>
  </w:num>
  <w:num w:numId="52" w16cid:durableId="1936790536">
    <w:abstractNumId w:val="0"/>
  </w:num>
  <w:num w:numId="53" w16cid:durableId="204217429">
    <w:abstractNumId w:val="36"/>
  </w:num>
  <w:num w:numId="54" w16cid:durableId="884222431">
    <w:abstractNumId w:val="35"/>
  </w:num>
  <w:num w:numId="55" w16cid:durableId="1942029750">
    <w:abstractNumId w:val="57"/>
  </w:num>
  <w:num w:numId="56" w16cid:durableId="796096901">
    <w:abstractNumId w:val="18"/>
  </w:num>
  <w:num w:numId="57" w16cid:durableId="864515034">
    <w:abstractNumId w:val="37"/>
  </w:num>
  <w:num w:numId="58" w16cid:durableId="1699350130">
    <w:abstractNumId w:val="27"/>
  </w:num>
  <w:num w:numId="59" w16cid:durableId="117267279">
    <w:abstractNumId w:val="20"/>
  </w:num>
  <w:num w:numId="60" w16cid:durableId="1948923515">
    <w:abstractNumId w:val="19"/>
  </w:num>
  <w:num w:numId="61" w16cid:durableId="1144854358">
    <w:abstractNumId w:val="39"/>
  </w:num>
  <w:num w:numId="62" w16cid:durableId="394165573">
    <w:abstractNumId w:val="8"/>
  </w:num>
  <w:num w:numId="63" w16cid:durableId="79329130">
    <w:abstractNumId w:val="46"/>
  </w:num>
  <w:num w:numId="64" w16cid:durableId="1845246733">
    <w:abstractNumId w:val="28"/>
  </w:num>
  <w:num w:numId="65" w16cid:durableId="658925219">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B0"/>
    <w:rsid w:val="000011F2"/>
    <w:rsid w:val="00002104"/>
    <w:rsid w:val="00006123"/>
    <w:rsid w:val="00007571"/>
    <w:rsid w:val="00025765"/>
    <w:rsid w:val="00026061"/>
    <w:rsid w:val="00035DD9"/>
    <w:rsid w:val="00035E90"/>
    <w:rsid w:val="00041536"/>
    <w:rsid w:val="00041B60"/>
    <w:rsid w:val="000560A7"/>
    <w:rsid w:val="00060125"/>
    <w:rsid w:val="00060EDC"/>
    <w:rsid w:val="00063AC1"/>
    <w:rsid w:val="00075945"/>
    <w:rsid w:val="000802CD"/>
    <w:rsid w:val="0008123E"/>
    <w:rsid w:val="00085F3A"/>
    <w:rsid w:val="0008619A"/>
    <w:rsid w:val="00087567"/>
    <w:rsid w:val="00091F18"/>
    <w:rsid w:val="00094B2E"/>
    <w:rsid w:val="000A3067"/>
    <w:rsid w:val="000A51F9"/>
    <w:rsid w:val="000A57DB"/>
    <w:rsid w:val="000B4019"/>
    <w:rsid w:val="000B79C0"/>
    <w:rsid w:val="000C1F33"/>
    <w:rsid w:val="000C7DB1"/>
    <w:rsid w:val="000D72F9"/>
    <w:rsid w:val="000E1B26"/>
    <w:rsid w:val="000E2DC6"/>
    <w:rsid w:val="0010044B"/>
    <w:rsid w:val="00103B6B"/>
    <w:rsid w:val="00113480"/>
    <w:rsid w:val="001209C7"/>
    <w:rsid w:val="00125FB6"/>
    <w:rsid w:val="00126579"/>
    <w:rsid w:val="00127717"/>
    <w:rsid w:val="0013015F"/>
    <w:rsid w:val="00132DFD"/>
    <w:rsid w:val="00136D2B"/>
    <w:rsid w:val="00143365"/>
    <w:rsid w:val="0015292C"/>
    <w:rsid w:val="001721D2"/>
    <w:rsid w:val="001731E0"/>
    <w:rsid w:val="00177CB0"/>
    <w:rsid w:val="00186F00"/>
    <w:rsid w:val="0018774A"/>
    <w:rsid w:val="00194F74"/>
    <w:rsid w:val="001A06A7"/>
    <w:rsid w:val="001A7119"/>
    <w:rsid w:val="001A717D"/>
    <w:rsid w:val="001B050E"/>
    <w:rsid w:val="001B23F3"/>
    <w:rsid w:val="001B3B6F"/>
    <w:rsid w:val="001B7BEE"/>
    <w:rsid w:val="001C0702"/>
    <w:rsid w:val="001C1B6C"/>
    <w:rsid w:val="001C2EDC"/>
    <w:rsid w:val="001C33C8"/>
    <w:rsid w:val="001C4644"/>
    <w:rsid w:val="001D6031"/>
    <w:rsid w:val="001E2EE2"/>
    <w:rsid w:val="001E5921"/>
    <w:rsid w:val="001E6D79"/>
    <w:rsid w:val="001F1FB3"/>
    <w:rsid w:val="001F60AD"/>
    <w:rsid w:val="00200327"/>
    <w:rsid w:val="00200B25"/>
    <w:rsid w:val="00201F2F"/>
    <w:rsid w:val="0021234D"/>
    <w:rsid w:val="00212FC4"/>
    <w:rsid w:val="002138FE"/>
    <w:rsid w:val="002167BE"/>
    <w:rsid w:val="00223F98"/>
    <w:rsid w:val="00226E3B"/>
    <w:rsid w:val="002330A5"/>
    <w:rsid w:val="00235675"/>
    <w:rsid w:val="00236419"/>
    <w:rsid w:val="002404E1"/>
    <w:rsid w:val="0024577A"/>
    <w:rsid w:val="00246EBB"/>
    <w:rsid w:val="00247AA7"/>
    <w:rsid w:val="00252343"/>
    <w:rsid w:val="00254700"/>
    <w:rsid w:val="002564F9"/>
    <w:rsid w:val="00260E75"/>
    <w:rsid w:val="0026734B"/>
    <w:rsid w:val="0027235E"/>
    <w:rsid w:val="00273CDB"/>
    <w:rsid w:val="0027417E"/>
    <w:rsid w:val="00275406"/>
    <w:rsid w:val="00280C2F"/>
    <w:rsid w:val="00282E76"/>
    <w:rsid w:val="002877E4"/>
    <w:rsid w:val="00287AF3"/>
    <w:rsid w:val="00295297"/>
    <w:rsid w:val="0029692A"/>
    <w:rsid w:val="00296A55"/>
    <w:rsid w:val="00296DF6"/>
    <w:rsid w:val="00297BCC"/>
    <w:rsid w:val="002A1870"/>
    <w:rsid w:val="002A631F"/>
    <w:rsid w:val="002B3A43"/>
    <w:rsid w:val="002B6BBA"/>
    <w:rsid w:val="002C35C0"/>
    <w:rsid w:val="002C5691"/>
    <w:rsid w:val="002C77DF"/>
    <w:rsid w:val="002D0731"/>
    <w:rsid w:val="002D208D"/>
    <w:rsid w:val="002D2972"/>
    <w:rsid w:val="002D588D"/>
    <w:rsid w:val="002D6B2C"/>
    <w:rsid w:val="002E5CDF"/>
    <w:rsid w:val="002F03D4"/>
    <w:rsid w:val="002F08FE"/>
    <w:rsid w:val="002F4A12"/>
    <w:rsid w:val="00301359"/>
    <w:rsid w:val="00302F25"/>
    <w:rsid w:val="00305F92"/>
    <w:rsid w:val="00310CD1"/>
    <w:rsid w:val="00311AB0"/>
    <w:rsid w:val="00315B0E"/>
    <w:rsid w:val="00317CCB"/>
    <w:rsid w:val="003226FA"/>
    <w:rsid w:val="00323B12"/>
    <w:rsid w:val="0032671A"/>
    <w:rsid w:val="00332AFB"/>
    <w:rsid w:val="0033421F"/>
    <w:rsid w:val="003352AF"/>
    <w:rsid w:val="003363F2"/>
    <w:rsid w:val="00337690"/>
    <w:rsid w:val="00337A03"/>
    <w:rsid w:val="003426DF"/>
    <w:rsid w:val="00342CBD"/>
    <w:rsid w:val="00343448"/>
    <w:rsid w:val="003619C8"/>
    <w:rsid w:val="00363601"/>
    <w:rsid w:val="00364227"/>
    <w:rsid w:val="0037645E"/>
    <w:rsid w:val="003839BF"/>
    <w:rsid w:val="00392935"/>
    <w:rsid w:val="00393453"/>
    <w:rsid w:val="0039466B"/>
    <w:rsid w:val="00396CC2"/>
    <w:rsid w:val="003A561E"/>
    <w:rsid w:val="003A5771"/>
    <w:rsid w:val="003B0CFD"/>
    <w:rsid w:val="003B34C2"/>
    <w:rsid w:val="003B57D4"/>
    <w:rsid w:val="003B6B7A"/>
    <w:rsid w:val="003B78A8"/>
    <w:rsid w:val="003C07A2"/>
    <w:rsid w:val="003C10FC"/>
    <w:rsid w:val="003C6720"/>
    <w:rsid w:val="003D071B"/>
    <w:rsid w:val="003D1956"/>
    <w:rsid w:val="003D1A6E"/>
    <w:rsid w:val="003E021E"/>
    <w:rsid w:val="003E07F6"/>
    <w:rsid w:val="003E7929"/>
    <w:rsid w:val="003F0C4D"/>
    <w:rsid w:val="003F55D7"/>
    <w:rsid w:val="003F5AEA"/>
    <w:rsid w:val="0040098F"/>
    <w:rsid w:val="0041292E"/>
    <w:rsid w:val="00413357"/>
    <w:rsid w:val="00413E89"/>
    <w:rsid w:val="004143F6"/>
    <w:rsid w:val="00415BD4"/>
    <w:rsid w:val="0041638D"/>
    <w:rsid w:val="00422B21"/>
    <w:rsid w:val="00426177"/>
    <w:rsid w:val="00431BB3"/>
    <w:rsid w:val="00431C8B"/>
    <w:rsid w:val="0043369F"/>
    <w:rsid w:val="00444406"/>
    <w:rsid w:val="00445880"/>
    <w:rsid w:val="0044769A"/>
    <w:rsid w:val="0045186B"/>
    <w:rsid w:val="0045716C"/>
    <w:rsid w:val="00461AC2"/>
    <w:rsid w:val="004669D5"/>
    <w:rsid w:val="00474ED9"/>
    <w:rsid w:val="00483C75"/>
    <w:rsid w:val="00492047"/>
    <w:rsid w:val="004A2711"/>
    <w:rsid w:val="004A3C89"/>
    <w:rsid w:val="004A50F2"/>
    <w:rsid w:val="004A5E1B"/>
    <w:rsid w:val="004A6B48"/>
    <w:rsid w:val="004A7F0A"/>
    <w:rsid w:val="004B14BB"/>
    <w:rsid w:val="004B5588"/>
    <w:rsid w:val="004B6DD2"/>
    <w:rsid w:val="004C5549"/>
    <w:rsid w:val="004C6BB8"/>
    <w:rsid w:val="004C6C6F"/>
    <w:rsid w:val="004D0680"/>
    <w:rsid w:val="004D1F81"/>
    <w:rsid w:val="004D30D0"/>
    <w:rsid w:val="004E2A57"/>
    <w:rsid w:val="004E39DB"/>
    <w:rsid w:val="004E7E08"/>
    <w:rsid w:val="004F6FFE"/>
    <w:rsid w:val="004F73DA"/>
    <w:rsid w:val="005008EF"/>
    <w:rsid w:val="00504736"/>
    <w:rsid w:val="00511F56"/>
    <w:rsid w:val="00512D9E"/>
    <w:rsid w:val="00520FB9"/>
    <w:rsid w:val="005227E2"/>
    <w:rsid w:val="00531670"/>
    <w:rsid w:val="00534A37"/>
    <w:rsid w:val="00535140"/>
    <w:rsid w:val="00536CCB"/>
    <w:rsid w:val="005443C1"/>
    <w:rsid w:val="005445EA"/>
    <w:rsid w:val="005452A5"/>
    <w:rsid w:val="005463ED"/>
    <w:rsid w:val="005531F9"/>
    <w:rsid w:val="00554FAB"/>
    <w:rsid w:val="00556AAB"/>
    <w:rsid w:val="00565B8B"/>
    <w:rsid w:val="0057067D"/>
    <w:rsid w:val="00573D20"/>
    <w:rsid w:val="0057726A"/>
    <w:rsid w:val="00580346"/>
    <w:rsid w:val="00581B98"/>
    <w:rsid w:val="0058263C"/>
    <w:rsid w:val="0059352B"/>
    <w:rsid w:val="005A1963"/>
    <w:rsid w:val="005A5AC3"/>
    <w:rsid w:val="005B21A5"/>
    <w:rsid w:val="005B5C7C"/>
    <w:rsid w:val="005B7AA0"/>
    <w:rsid w:val="005C3B12"/>
    <w:rsid w:val="005C3B4E"/>
    <w:rsid w:val="005C56BD"/>
    <w:rsid w:val="005C7268"/>
    <w:rsid w:val="005C7358"/>
    <w:rsid w:val="005D5923"/>
    <w:rsid w:val="005E042A"/>
    <w:rsid w:val="005E1456"/>
    <w:rsid w:val="005E40FF"/>
    <w:rsid w:val="005E47E0"/>
    <w:rsid w:val="005E48FA"/>
    <w:rsid w:val="005E6663"/>
    <w:rsid w:val="005E7DB5"/>
    <w:rsid w:val="005F007E"/>
    <w:rsid w:val="005F0630"/>
    <w:rsid w:val="005F09E1"/>
    <w:rsid w:val="005F4D3E"/>
    <w:rsid w:val="0060101D"/>
    <w:rsid w:val="00603DD3"/>
    <w:rsid w:val="00606F06"/>
    <w:rsid w:val="006105B3"/>
    <w:rsid w:val="00614B3D"/>
    <w:rsid w:val="00623689"/>
    <w:rsid w:val="006240CC"/>
    <w:rsid w:val="00624268"/>
    <w:rsid w:val="00630165"/>
    <w:rsid w:val="0064009C"/>
    <w:rsid w:val="00641813"/>
    <w:rsid w:val="00642CE5"/>
    <w:rsid w:val="006453BE"/>
    <w:rsid w:val="006559BE"/>
    <w:rsid w:val="00655FCE"/>
    <w:rsid w:val="0066369D"/>
    <w:rsid w:val="00667A60"/>
    <w:rsid w:val="006713C0"/>
    <w:rsid w:val="006945F2"/>
    <w:rsid w:val="006A66D8"/>
    <w:rsid w:val="006A722C"/>
    <w:rsid w:val="006B0D18"/>
    <w:rsid w:val="006B2534"/>
    <w:rsid w:val="006B4ECC"/>
    <w:rsid w:val="006B7746"/>
    <w:rsid w:val="006C2E96"/>
    <w:rsid w:val="006C3A0D"/>
    <w:rsid w:val="006C4F8C"/>
    <w:rsid w:val="006C7703"/>
    <w:rsid w:val="006D088E"/>
    <w:rsid w:val="006D1B70"/>
    <w:rsid w:val="006D30DA"/>
    <w:rsid w:val="006D3186"/>
    <w:rsid w:val="006E0BAD"/>
    <w:rsid w:val="006E3C44"/>
    <w:rsid w:val="006E7596"/>
    <w:rsid w:val="006E7814"/>
    <w:rsid w:val="006F0A58"/>
    <w:rsid w:val="006F1B6A"/>
    <w:rsid w:val="006F4017"/>
    <w:rsid w:val="006F6DB5"/>
    <w:rsid w:val="006F75DD"/>
    <w:rsid w:val="00702511"/>
    <w:rsid w:val="007039C5"/>
    <w:rsid w:val="00704B43"/>
    <w:rsid w:val="0070573A"/>
    <w:rsid w:val="0070686B"/>
    <w:rsid w:val="007153D9"/>
    <w:rsid w:val="007155DC"/>
    <w:rsid w:val="00722984"/>
    <w:rsid w:val="00726162"/>
    <w:rsid w:val="00727842"/>
    <w:rsid w:val="007305A1"/>
    <w:rsid w:val="00733334"/>
    <w:rsid w:val="007343A9"/>
    <w:rsid w:val="0073481C"/>
    <w:rsid w:val="007365E3"/>
    <w:rsid w:val="00743573"/>
    <w:rsid w:val="00745B06"/>
    <w:rsid w:val="00747660"/>
    <w:rsid w:val="00750691"/>
    <w:rsid w:val="00752C16"/>
    <w:rsid w:val="00756B9D"/>
    <w:rsid w:val="00762943"/>
    <w:rsid w:val="00765E3F"/>
    <w:rsid w:val="0076606F"/>
    <w:rsid w:val="00766F84"/>
    <w:rsid w:val="00771605"/>
    <w:rsid w:val="00772221"/>
    <w:rsid w:val="0077240B"/>
    <w:rsid w:val="00772CAF"/>
    <w:rsid w:val="00776CA3"/>
    <w:rsid w:val="007778F1"/>
    <w:rsid w:val="00780F8A"/>
    <w:rsid w:val="0078461E"/>
    <w:rsid w:val="0078494F"/>
    <w:rsid w:val="0078713C"/>
    <w:rsid w:val="007A6007"/>
    <w:rsid w:val="007A6FF0"/>
    <w:rsid w:val="007A6FF7"/>
    <w:rsid w:val="007B16DF"/>
    <w:rsid w:val="007B3FC2"/>
    <w:rsid w:val="007C0895"/>
    <w:rsid w:val="007C17C9"/>
    <w:rsid w:val="007D10C7"/>
    <w:rsid w:val="007D66B6"/>
    <w:rsid w:val="007D6A39"/>
    <w:rsid w:val="007D72B4"/>
    <w:rsid w:val="007D7B7B"/>
    <w:rsid w:val="007E27DC"/>
    <w:rsid w:val="007E650B"/>
    <w:rsid w:val="007F6E80"/>
    <w:rsid w:val="008015F3"/>
    <w:rsid w:val="00803C2E"/>
    <w:rsid w:val="00805867"/>
    <w:rsid w:val="00806370"/>
    <w:rsid w:val="00813BF6"/>
    <w:rsid w:val="0081651B"/>
    <w:rsid w:val="00820002"/>
    <w:rsid w:val="008221FA"/>
    <w:rsid w:val="008246E6"/>
    <w:rsid w:val="00824DB9"/>
    <w:rsid w:val="00834B12"/>
    <w:rsid w:val="00841816"/>
    <w:rsid w:val="00843861"/>
    <w:rsid w:val="00852E86"/>
    <w:rsid w:val="0085430C"/>
    <w:rsid w:val="00862017"/>
    <w:rsid w:val="0086448E"/>
    <w:rsid w:val="008655FA"/>
    <w:rsid w:val="00872D3E"/>
    <w:rsid w:val="0087439F"/>
    <w:rsid w:val="00876DCF"/>
    <w:rsid w:val="008851F3"/>
    <w:rsid w:val="00886FAF"/>
    <w:rsid w:val="0089656C"/>
    <w:rsid w:val="008A15D5"/>
    <w:rsid w:val="008A6A77"/>
    <w:rsid w:val="008B2D49"/>
    <w:rsid w:val="008B6C9B"/>
    <w:rsid w:val="008C2DC3"/>
    <w:rsid w:val="008D42B7"/>
    <w:rsid w:val="008D629C"/>
    <w:rsid w:val="008D6AB0"/>
    <w:rsid w:val="008E00B8"/>
    <w:rsid w:val="008E365F"/>
    <w:rsid w:val="008E367F"/>
    <w:rsid w:val="008E4355"/>
    <w:rsid w:val="008E6B20"/>
    <w:rsid w:val="008E71B9"/>
    <w:rsid w:val="008F13F3"/>
    <w:rsid w:val="008F26AB"/>
    <w:rsid w:val="008F4516"/>
    <w:rsid w:val="00900A8E"/>
    <w:rsid w:val="009047EC"/>
    <w:rsid w:val="0090480D"/>
    <w:rsid w:val="00911D55"/>
    <w:rsid w:val="00916B14"/>
    <w:rsid w:val="00923EE3"/>
    <w:rsid w:val="009339D9"/>
    <w:rsid w:val="00943820"/>
    <w:rsid w:val="00943EB5"/>
    <w:rsid w:val="00944CA7"/>
    <w:rsid w:val="00955F94"/>
    <w:rsid w:val="009676D1"/>
    <w:rsid w:val="0098000A"/>
    <w:rsid w:val="009822FC"/>
    <w:rsid w:val="009869E0"/>
    <w:rsid w:val="009A03BC"/>
    <w:rsid w:val="009A15EF"/>
    <w:rsid w:val="009A1CFD"/>
    <w:rsid w:val="009A244D"/>
    <w:rsid w:val="009A363F"/>
    <w:rsid w:val="009A402A"/>
    <w:rsid w:val="009A5853"/>
    <w:rsid w:val="009A5941"/>
    <w:rsid w:val="009A7F72"/>
    <w:rsid w:val="009B48AB"/>
    <w:rsid w:val="009C2EDA"/>
    <w:rsid w:val="009C70E5"/>
    <w:rsid w:val="009D181F"/>
    <w:rsid w:val="009D3485"/>
    <w:rsid w:val="009D3F65"/>
    <w:rsid w:val="009D4EF1"/>
    <w:rsid w:val="009D73AD"/>
    <w:rsid w:val="009D7CF0"/>
    <w:rsid w:val="009E13B1"/>
    <w:rsid w:val="009F07EF"/>
    <w:rsid w:val="009F0D63"/>
    <w:rsid w:val="009F1E43"/>
    <w:rsid w:val="009F312F"/>
    <w:rsid w:val="009F73EF"/>
    <w:rsid w:val="009F77DE"/>
    <w:rsid w:val="00A000E8"/>
    <w:rsid w:val="00A009E2"/>
    <w:rsid w:val="00A03AA7"/>
    <w:rsid w:val="00A104E0"/>
    <w:rsid w:val="00A112B3"/>
    <w:rsid w:val="00A136B2"/>
    <w:rsid w:val="00A177E8"/>
    <w:rsid w:val="00A20CA3"/>
    <w:rsid w:val="00A2523C"/>
    <w:rsid w:val="00A26BD6"/>
    <w:rsid w:val="00A26C29"/>
    <w:rsid w:val="00A27E83"/>
    <w:rsid w:val="00A4380A"/>
    <w:rsid w:val="00A4476C"/>
    <w:rsid w:val="00A45350"/>
    <w:rsid w:val="00A45DC4"/>
    <w:rsid w:val="00A47A5E"/>
    <w:rsid w:val="00A54EFF"/>
    <w:rsid w:val="00A57325"/>
    <w:rsid w:val="00A63559"/>
    <w:rsid w:val="00A63B00"/>
    <w:rsid w:val="00A84641"/>
    <w:rsid w:val="00A84A79"/>
    <w:rsid w:val="00A91993"/>
    <w:rsid w:val="00A927C1"/>
    <w:rsid w:val="00A97A11"/>
    <w:rsid w:val="00AA3994"/>
    <w:rsid w:val="00AA54EF"/>
    <w:rsid w:val="00AA5D57"/>
    <w:rsid w:val="00AA7B8A"/>
    <w:rsid w:val="00AB3B17"/>
    <w:rsid w:val="00AB4E89"/>
    <w:rsid w:val="00AB5E4F"/>
    <w:rsid w:val="00AB6588"/>
    <w:rsid w:val="00AB6D46"/>
    <w:rsid w:val="00AB6FEA"/>
    <w:rsid w:val="00AB737D"/>
    <w:rsid w:val="00AB7E59"/>
    <w:rsid w:val="00AC2D33"/>
    <w:rsid w:val="00AD089C"/>
    <w:rsid w:val="00AD3326"/>
    <w:rsid w:val="00AD3E10"/>
    <w:rsid w:val="00AD5DE8"/>
    <w:rsid w:val="00AF1416"/>
    <w:rsid w:val="00AF1476"/>
    <w:rsid w:val="00AF1661"/>
    <w:rsid w:val="00AF2CDB"/>
    <w:rsid w:val="00AF7665"/>
    <w:rsid w:val="00B00B77"/>
    <w:rsid w:val="00B032D2"/>
    <w:rsid w:val="00B04496"/>
    <w:rsid w:val="00B0753C"/>
    <w:rsid w:val="00B07576"/>
    <w:rsid w:val="00B10A92"/>
    <w:rsid w:val="00B12188"/>
    <w:rsid w:val="00B12AD3"/>
    <w:rsid w:val="00B2309E"/>
    <w:rsid w:val="00B313E3"/>
    <w:rsid w:val="00B31B48"/>
    <w:rsid w:val="00B32E24"/>
    <w:rsid w:val="00B34F39"/>
    <w:rsid w:val="00B35BE4"/>
    <w:rsid w:val="00B42485"/>
    <w:rsid w:val="00B45913"/>
    <w:rsid w:val="00B50CCD"/>
    <w:rsid w:val="00B51810"/>
    <w:rsid w:val="00B531EE"/>
    <w:rsid w:val="00B57107"/>
    <w:rsid w:val="00B67BF9"/>
    <w:rsid w:val="00B711A8"/>
    <w:rsid w:val="00B752BF"/>
    <w:rsid w:val="00B87DD7"/>
    <w:rsid w:val="00B87E12"/>
    <w:rsid w:val="00B9253C"/>
    <w:rsid w:val="00BA3217"/>
    <w:rsid w:val="00BA48F5"/>
    <w:rsid w:val="00BB62FC"/>
    <w:rsid w:val="00BC2666"/>
    <w:rsid w:val="00BC6059"/>
    <w:rsid w:val="00BD39EF"/>
    <w:rsid w:val="00BE31A4"/>
    <w:rsid w:val="00BF1C3A"/>
    <w:rsid w:val="00BF6512"/>
    <w:rsid w:val="00C00DD4"/>
    <w:rsid w:val="00C031BC"/>
    <w:rsid w:val="00C05B8C"/>
    <w:rsid w:val="00C06D49"/>
    <w:rsid w:val="00C076DF"/>
    <w:rsid w:val="00C11AC4"/>
    <w:rsid w:val="00C120BF"/>
    <w:rsid w:val="00C17193"/>
    <w:rsid w:val="00C23D3F"/>
    <w:rsid w:val="00C24F9F"/>
    <w:rsid w:val="00C251B8"/>
    <w:rsid w:val="00C2725A"/>
    <w:rsid w:val="00C373E5"/>
    <w:rsid w:val="00C401C3"/>
    <w:rsid w:val="00C4156B"/>
    <w:rsid w:val="00C41622"/>
    <w:rsid w:val="00C41C67"/>
    <w:rsid w:val="00C432AA"/>
    <w:rsid w:val="00C47C84"/>
    <w:rsid w:val="00C50260"/>
    <w:rsid w:val="00C50464"/>
    <w:rsid w:val="00C524DB"/>
    <w:rsid w:val="00C54125"/>
    <w:rsid w:val="00C54BC3"/>
    <w:rsid w:val="00C61AD5"/>
    <w:rsid w:val="00C6337B"/>
    <w:rsid w:val="00C676F1"/>
    <w:rsid w:val="00C70505"/>
    <w:rsid w:val="00C72596"/>
    <w:rsid w:val="00C72FCB"/>
    <w:rsid w:val="00C82ECD"/>
    <w:rsid w:val="00C96E2F"/>
    <w:rsid w:val="00CA280B"/>
    <w:rsid w:val="00CB649E"/>
    <w:rsid w:val="00CB7145"/>
    <w:rsid w:val="00CB7707"/>
    <w:rsid w:val="00CC0789"/>
    <w:rsid w:val="00CC48C5"/>
    <w:rsid w:val="00CD067A"/>
    <w:rsid w:val="00CD2F3D"/>
    <w:rsid w:val="00CD5CEA"/>
    <w:rsid w:val="00CD69DF"/>
    <w:rsid w:val="00CE254F"/>
    <w:rsid w:val="00CE2BE3"/>
    <w:rsid w:val="00CE5507"/>
    <w:rsid w:val="00CE76BE"/>
    <w:rsid w:val="00CF1CF2"/>
    <w:rsid w:val="00CF3DB0"/>
    <w:rsid w:val="00CF459A"/>
    <w:rsid w:val="00D01277"/>
    <w:rsid w:val="00D06004"/>
    <w:rsid w:val="00D108BA"/>
    <w:rsid w:val="00D1180E"/>
    <w:rsid w:val="00D13F0E"/>
    <w:rsid w:val="00D17462"/>
    <w:rsid w:val="00D22380"/>
    <w:rsid w:val="00D24E57"/>
    <w:rsid w:val="00D25168"/>
    <w:rsid w:val="00D27424"/>
    <w:rsid w:val="00D27C2D"/>
    <w:rsid w:val="00D32950"/>
    <w:rsid w:val="00D34A26"/>
    <w:rsid w:val="00D34C3C"/>
    <w:rsid w:val="00D36575"/>
    <w:rsid w:val="00D46BC7"/>
    <w:rsid w:val="00D541E6"/>
    <w:rsid w:val="00D545E8"/>
    <w:rsid w:val="00D565F9"/>
    <w:rsid w:val="00D61E81"/>
    <w:rsid w:val="00D6334E"/>
    <w:rsid w:val="00D80CD0"/>
    <w:rsid w:val="00D82C89"/>
    <w:rsid w:val="00D8520E"/>
    <w:rsid w:val="00D8611D"/>
    <w:rsid w:val="00D866BA"/>
    <w:rsid w:val="00D8792C"/>
    <w:rsid w:val="00D94B4D"/>
    <w:rsid w:val="00D95927"/>
    <w:rsid w:val="00D96BB7"/>
    <w:rsid w:val="00DA0832"/>
    <w:rsid w:val="00DA5B7E"/>
    <w:rsid w:val="00DB3CED"/>
    <w:rsid w:val="00DB5538"/>
    <w:rsid w:val="00DB5C42"/>
    <w:rsid w:val="00DC431E"/>
    <w:rsid w:val="00DC5DC4"/>
    <w:rsid w:val="00DD7A54"/>
    <w:rsid w:val="00DE747C"/>
    <w:rsid w:val="00DF2B3D"/>
    <w:rsid w:val="00DF7A3B"/>
    <w:rsid w:val="00E11AF7"/>
    <w:rsid w:val="00E130D8"/>
    <w:rsid w:val="00E16BEE"/>
    <w:rsid w:val="00E21E3F"/>
    <w:rsid w:val="00E2227A"/>
    <w:rsid w:val="00E30EFD"/>
    <w:rsid w:val="00E330D0"/>
    <w:rsid w:val="00E434FC"/>
    <w:rsid w:val="00E44156"/>
    <w:rsid w:val="00E45A69"/>
    <w:rsid w:val="00E53076"/>
    <w:rsid w:val="00E5349B"/>
    <w:rsid w:val="00E56508"/>
    <w:rsid w:val="00E6234E"/>
    <w:rsid w:val="00E62663"/>
    <w:rsid w:val="00E643F9"/>
    <w:rsid w:val="00E65067"/>
    <w:rsid w:val="00E666AE"/>
    <w:rsid w:val="00E67592"/>
    <w:rsid w:val="00E7301C"/>
    <w:rsid w:val="00E73637"/>
    <w:rsid w:val="00E76538"/>
    <w:rsid w:val="00E823F5"/>
    <w:rsid w:val="00E82A15"/>
    <w:rsid w:val="00E83939"/>
    <w:rsid w:val="00E84978"/>
    <w:rsid w:val="00E93A9E"/>
    <w:rsid w:val="00E96B4A"/>
    <w:rsid w:val="00EB144F"/>
    <w:rsid w:val="00EB3615"/>
    <w:rsid w:val="00EB55B6"/>
    <w:rsid w:val="00EB577C"/>
    <w:rsid w:val="00EB717F"/>
    <w:rsid w:val="00EC20D1"/>
    <w:rsid w:val="00EC211A"/>
    <w:rsid w:val="00ED0EB1"/>
    <w:rsid w:val="00ED1028"/>
    <w:rsid w:val="00ED7C24"/>
    <w:rsid w:val="00EE0667"/>
    <w:rsid w:val="00EE1817"/>
    <w:rsid w:val="00EE1D63"/>
    <w:rsid w:val="00EE7037"/>
    <w:rsid w:val="00EF3B08"/>
    <w:rsid w:val="00EF46C8"/>
    <w:rsid w:val="00F002E3"/>
    <w:rsid w:val="00F14D47"/>
    <w:rsid w:val="00F16329"/>
    <w:rsid w:val="00F216B7"/>
    <w:rsid w:val="00F24599"/>
    <w:rsid w:val="00F2557F"/>
    <w:rsid w:val="00F30498"/>
    <w:rsid w:val="00F324CC"/>
    <w:rsid w:val="00F35F45"/>
    <w:rsid w:val="00F404C3"/>
    <w:rsid w:val="00F459EC"/>
    <w:rsid w:val="00F503EC"/>
    <w:rsid w:val="00F507FB"/>
    <w:rsid w:val="00F52C96"/>
    <w:rsid w:val="00F55660"/>
    <w:rsid w:val="00F959A7"/>
    <w:rsid w:val="00F95ADB"/>
    <w:rsid w:val="00F96BF2"/>
    <w:rsid w:val="00FB7E70"/>
    <w:rsid w:val="00FC0446"/>
    <w:rsid w:val="00FC3BB3"/>
    <w:rsid w:val="00FD1D7B"/>
    <w:rsid w:val="00FD4F86"/>
    <w:rsid w:val="00FD5089"/>
    <w:rsid w:val="00FD6A13"/>
    <w:rsid w:val="00FE1145"/>
    <w:rsid w:val="00FE3FA2"/>
    <w:rsid w:val="00FE4623"/>
    <w:rsid w:val="00FE67F1"/>
    <w:rsid w:val="00FF0D27"/>
    <w:rsid w:val="00FF7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C188C"/>
  <w15:chartTrackingRefBased/>
  <w15:docId w15:val="{3DDC6908-0E5C-AA48-A515-20E52BA1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33"/>
    <w:pPr>
      <w:spacing w:after="200" w:line="276" w:lineRule="auto"/>
    </w:pPr>
    <w:rPr>
      <w:rFonts w:ascii="Arial" w:eastAsia="Times New Roman" w:hAnsi="Arial" w:cs="Times New Roman"/>
      <w:kern w:val="0"/>
      <w:sz w:val="22"/>
      <w14:ligatures w14:val="none"/>
    </w:rPr>
  </w:style>
  <w:style w:type="paragraph" w:styleId="Heading1">
    <w:name w:val="heading 1"/>
    <w:basedOn w:val="Normal"/>
    <w:next w:val="Normal"/>
    <w:link w:val="Heading1Char"/>
    <w:uiPriority w:val="9"/>
    <w:qFormat/>
    <w:rsid w:val="008D6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D6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48AB"/>
    <w:pPr>
      <w:keepNext/>
      <w:keepLines/>
      <w:spacing w:before="160" w:after="80"/>
      <w:outlineLvl w:val="2"/>
    </w:pPr>
    <w:rPr>
      <w:rFonts w:eastAsiaTheme="majorEastAsia" w:cstheme="majorBidi"/>
      <w:b/>
      <w:color w:val="215E99" w:themeColor="text2" w:themeTint="BF"/>
      <w:sz w:val="24"/>
      <w:szCs w:val="28"/>
    </w:rPr>
  </w:style>
  <w:style w:type="paragraph" w:styleId="Heading4">
    <w:name w:val="heading 4"/>
    <w:basedOn w:val="Normal"/>
    <w:next w:val="Normal"/>
    <w:link w:val="Heading4Char"/>
    <w:uiPriority w:val="9"/>
    <w:unhideWhenUsed/>
    <w:qFormat/>
    <w:rsid w:val="008D6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6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6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6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6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6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6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D6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48AB"/>
    <w:rPr>
      <w:rFonts w:ascii="Arial" w:eastAsiaTheme="majorEastAsia" w:hAnsi="Arial" w:cstheme="majorBidi"/>
      <w:b/>
      <w:color w:val="215E99" w:themeColor="text2" w:themeTint="BF"/>
      <w:kern w:val="0"/>
      <w:szCs w:val="28"/>
      <w14:ligatures w14:val="none"/>
    </w:rPr>
  </w:style>
  <w:style w:type="character" w:customStyle="1" w:styleId="Heading4Char">
    <w:name w:val="Heading 4 Char"/>
    <w:basedOn w:val="DefaultParagraphFont"/>
    <w:link w:val="Heading4"/>
    <w:uiPriority w:val="9"/>
    <w:rsid w:val="008D6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6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6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6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6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6AB0"/>
    <w:rPr>
      <w:rFonts w:eastAsiaTheme="majorEastAsia" w:cstheme="majorBidi"/>
      <w:color w:val="272727" w:themeColor="text1" w:themeTint="D8"/>
    </w:rPr>
  </w:style>
  <w:style w:type="paragraph" w:styleId="Title">
    <w:name w:val="Title"/>
    <w:basedOn w:val="Normal"/>
    <w:next w:val="Normal"/>
    <w:link w:val="TitleChar"/>
    <w:uiPriority w:val="10"/>
    <w:qFormat/>
    <w:rsid w:val="008D6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6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6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6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6AB0"/>
    <w:pPr>
      <w:spacing w:before="160"/>
      <w:jc w:val="center"/>
    </w:pPr>
    <w:rPr>
      <w:i/>
      <w:iCs/>
      <w:color w:val="404040" w:themeColor="text1" w:themeTint="BF"/>
    </w:rPr>
  </w:style>
  <w:style w:type="character" w:customStyle="1" w:styleId="QuoteChar">
    <w:name w:val="Quote Char"/>
    <w:basedOn w:val="DefaultParagraphFont"/>
    <w:link w:val="Quote"/>
    <w:uiPriority w:val="29"/>
    <w:rsid w:val="008D6AB0"/>
    <w:rPr>
      <w:i/>
      <w:iCs/>
      <w:color w:val="404040" w:themeColor="text1" w:themeTint="BF"/>
    </w:rPr>
  </w:style>
  <w:style w:type="paragraph" w:styleId="ListParagraph">
    <w:name w:val="List Paragraph"/>
    <w:basedOn w:val="Normal"/>
    <w:uiPriority w:val="34"/>
    <w:qFormat/>
    <w:rsid w:val="008D6AB0"/>
    <w:pPr>
      <w:ind w:left="720"/>
      <w:contextualSpacing/>
    </w:pPr>
  </w:style>
  <w:style w:type="character" w:styleId="IntenseEmphasis">
    <w:name w:val="Intense Emphasis"/>
    <w:basedOn w:val="DefaultParagraphFont"/>
    <w:uiPriority w:val="21"/>
    <w:qFormat/>
    <w:rsid w:val="008D6AB0"/>
    <w:rPr>
      <w:i/>
      <w:iCs/>
      <w:color w:val="0F4761" w:themeColor="accent1" w:themeShade="BF"/>
    </w:rPr>
  </w:style>
  <w:style w:type="paragraph" w:styleId="IntenseQuote">
    <w:name w:val="Intense Quote"/>
    <w:basedOn w:val="Normal"/>
    <w:next w:val="Normal"/>
    <w:link w:val="IntenseQuoteChar"/>
    <w:uiPriority w:val="30"/>
    <w:qFormat/>
    <w:rsid w:val="008D6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6AB0"/>
    <w:rPr>
      <w:i/>
      <w:iCs/>
      <w:color w:val="0F4761" w:themeColor="accent1" w:themeShade="BF"/>
    </w:rPr>
  </w:style>
  <w:style w:type="character" w:styleId="IntenseReference">
    <w:name w:val="Intense Reference"/>
    <w:basedOn w:val="DefaultParagraphFont"/>
    <w:uiPriority w:val="32"/>
    <w:qFormat/>
    <w:rsid w:val="008D6AB0"/>
    <w:rPr>
      <w:b/>
      <w:bCs/>
      <w:smallCaps/>
      <w:color w:val="0F4761" w:themeColor="accent1" w:themeShade="BF"/>
      <w:spacing w:val="5"/>
    </w:rPr>
  </w:style>
  <w:style w:type="paragraph" w:customStyle="1" w:styleId="p1">
    <w:name w:val="p1"/>
    <w:basedOn w:val="Normal"/>
    <w:rsid w:val="008D6AB0"/>
    <w:pPr>
      <w:spacing w:before="100" w:beforeAutospacing="1" w:after="100" w:afterAutospacing="1"/>
    </w:pPr>
  </w:style>
  <w:style w:type="character" w:customStyle="1" w:styleId="s1">
    <w:name w:val="s1"/>
    <w:basedOn w:val="DefaultParagraphFont"/>
    <w:rsid w:val="008D6AB0"/>
  </w:style>
  <w:style w:type="paragraph" w:customStyle="1" w:styleId="p2">
    <w:name w:val="p2"/>
    <w:basedOn w:val="Normal"/>
    <w:rsid w:val="008D6AB0"/>
    <w:pPr>
      <w:spacing w:before="100" w:beforeAutospacing="1" w:after="100" w:afterAutospacing="1"/>
    </w:pPr>
  </w:style>
  <w:style w:type="paragraph" w:customStyle="1" w:styleId="p3">
    <w:name w:val="p3"/>
    <w:basedOn w:val="Normal"/>
    <w:rsid w:val="008D6AB0"/>
    <w:pPr>
      <w:spacing w:before="100" w:beforeAutospacing="1" w:after="100" w:afterAutospacing="1"/>
    </w:pPr>
  </w:style>
  <w:style w:type="character" w:customStyle="1" w:styleId="apple-converted-space">
    <w:name w:val="apple-converted-space"/>
    <w:basedOn w:val="DefaultParagraphFont"/>
    <w:rsid w:val="008D6AB0"/>
  </w:style>
  <w:style w:type="character" w:customStyle="1" w:styleId="s2">
    <w:name w:val="s2"/>
    <w:basedOn w:val="DefaultParagraphFont"/>
    <w:rsid w:val="008D6AB0"/>
  </w:style>
  <w:style w:type="character" w:styleId="Hyperlink">
    <w:name w:val="Hyperlink"/>
    <w:basedOn w:val="DefaultParagraphFont"/>
    <w:uiPriority w:val="99"/>
    <w:semiHidden/>
    <w:unhideWhenUsed/>
    <w:rsid w:val="000E2DC6"/>
    <w:rPr>
      <w:color w:val="0000FF"/>
      <w:u w:val="single"/>
    </w:rPr>
  </w:style>
  <w:style w:type="character" w:customStyle="1" w:styleId="s3">
    <w:name w:val="s3"/>
    <w:basedOn w:val="DefaultParagraphFont"/>
    <w:rsid w:val="000E2DC6"/>
  </w:style>
  <w:style w:type="paragraph" w:customStyle="1" w:styleId="p4">
    <w:name w:val="p4"/>
    <w:basedOn w:val="Normal"/>
    <w:rsid w:val="00287AF3"/>
    <w:pPr>
      <w:spacing w:before="100" w:beforeAutospacing="1" w:after="100" w:afterAutospacing="1"/>
    </w:pPr>
  </w:style>
  <w:style w:type="paragraph" w:styleId="NormalWeb">
    <w:name w:val="Normal (Web)"/>
    <w:basedOn w:val="Normal"/>
    <w:uiPriority w:val="99"/>
    <w:unhideWhenUsed/>
    <w:rsid w:val="005F0630"/>
    <w:pPr>
      <w:spacing w:before="100" w:beforeAutospacing="1" w:after="100" w:afterAutospacing="1"/>
    </w:pPr>
  </w:style>
  <w:style w:type="character" w:customStyle="1" w:styleId="math-inline">
    <w:name w:val="math-inline"/>
    <w:basedOn w:val="DefaultParagraphFont"/>
    <w:rsid w:val="004C5549"/>
  </w:style>
  <w:style w:type="paragraph" w:customStyle="1" w:styleId="font-claude-response-body">
    <w:name w:val="font-claude-response-body"/>
    <w:basedOn w:val="Normal"/>
    <w:rsid w:val="00C11AC4"/>
    <w:pPr>
      <w:spacing w:before="100" w:beforeAutospacing="1" w:after="100" w:afterAutospacing="1"/>
    </w:pPr>
  </w:style>
  <w:style w:type="character" w:styleId="Strong">
    <w:name w:val="Strong"/>
    <w:basedOn w:val="DefaultParagraphFont"/>
    <w:uiPriority w:val="22"/>
    <w:qFormat/>
    <w:rsid w:val="00911D55"/>
    <w:rPr>
      <w:b/>
      <w:bCs/>
    </w:rPr>
  </w:style>
  <w:style w:type="table" w:styleId="GridTable1Light">
    <w:name w:val="Grid Table 1 Light"/>
    <w:basedOn w:val="TableNormal"/>
    <w:uiPriority w:val="46"/>
    <w:rsid w:val="00B67BF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67BF9"/>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67BF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C43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45186B"/>
    <w:pPr>
      <w:tabs>
        <w:tab w:val="center" w:pos="4680"/>
        <w:tab w:val="right" w:pos="9360"/>
      </w:tabs>
    </w:pPr>
  </w:style>
  <w:style w:type="character" w:customStyle="1" w:styleId="HeaderChar">
    <w:name w:val="Header Char"/>
    <w:basedOn w:val="DefaultParagraphFont"/>
    <w:link w:val="Header"/>
    <w:uiPriority w:val="99"/>
    <w:rsid w:val="0045186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5186B"/>
    <w:pPr>
      <w:tabs>
        <w:tab w:val="center" w:pos="4680"/>
        <w:tab w:val="right" w:pos="9360"/>
      </w:tabs>
    </w:pPr>
  </w:style>
  <w:style w:type="character" w:customStyle="1" w:styleId="FooterChar">
    <w:name w:val="Footer Char"/>
    <w:basedOn w:val="DefaultParagraphFont"/>
    <w:link w:val="Footer"/>
    <w:uiPriority w:val="99"/>
    <w:rsid w:val="0045186B"/>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D8611D"/>
  </w:style>
  <w:style w:type="table" w:styleId="GridTable1Light-Accent5">
    <w:name w:val="Grid Table 1 Light Accent 5"/>
    <w:basedOn w:val="TableNormal"/>
    <w:uiPriority w:val="46"/>
    <w:rsid w:val="00041536"/>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4153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AC2D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6">
    <w:name w:val="Grid Table 5 Dark Accent 6"/>
    <w:basedOn w:val="TableNormal"/>
    <w:uiPriority w:val="50"/>
    <w:rsid w:val="00AC2D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ListTable4-Accent4">
    <w:name w:val="List Table 4 Accent 4"/>
    <w:basedOn w:val="TableNormal"/>
    <w:uiPriority w:val="49"/>
    <w:rsid w:val="00AC2D3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37</Pages>
  <Words>12563</Words>
  <Characters>81286</Characters>
  <Application>Microsoft Office Word</Application>
  <DocSecurity>0</DocSecurity>
  <Lines>2322</Lines>
  <Paragraphs>1489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Marr</dc:creator>
  <cp:keywords/>
  <dc:description/>
  <cp:lastModifiedBy>Jeff Marr</cp:lastModifiedBy>
  <cp:revision>6</cp:revision>
  <cp:lastPrinted>2026-01-30T19:11:00Z</cp:lastPrinted>
  <dcterms:created xsi:type="dcterms:W3CDTF">2026-03-20T14:58:00Z</dcterms:created>
  <dcterms:modified xsi:type="dcterms:W3CDTF">2026-04-26T21:41:00Z</dcterms:modified>
</cp:coreProperties>
</file>